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46990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62230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46" w:lineRule="exact"/>
        <w:rPr>
          <w:sz w:val="20"/>
          <w:szCs w:val="20"/>
          <w:color w:val="auto"/>
        </w:rPr>
      </w:pPr>
    </w:p>
    <w:p>
      <w:pPr>
        <w:ind w:left="1860" w:hanging="933"/>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860"/>
        <w:spacing w:after="0"/>
        <w:rPr>
          <w:sz w:val="20"/>
          <w:szCs w:val="20"/>
          <w:color w:val="auto"/>
        </w:rPr>
      </w:pPr>
      <w:r>
        <w:rPr>
          <w:rFonts w:ascii="Arial" w:cs="Arial" w:eastAsia="Arial" w:hAnsi="Arial"/>
          <w:sz w:val="13"/>
          <w:szCs w:val="13"/>
          <w:b w:val="1"/>
          <w:bCs w:val="1"/>
          <w:color w:val="auto"/>
        </w:rPr>
        <w:t>For the fiscal year ended March 31, 2011</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860" w:hanging="903"/>
        <w:spacing w:after="0"/>
        <w:tabs>
          <w:tab w:leader="none" w:pos="18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ind w:left="1860"/>
        <w:spacing w:after="0"/>
        <w:tabs>
          <w:tab w:leader="none" w:pos="39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Commission file number 000-19672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81915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American Superconductor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60960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57"/>
        </w:trPr>
        <w:tc>
          <w:tcPr>
            <w:tcW w:w="662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94"/>
              </w:rPr>
              <w:t>Delaware</w:t>
            </w:r>
          </w:p>
        </w:tc>
        <w:tc>
          <w:tcPr>
            <w:tcW w:w="1680" w:type="dxa"/>
            <w:vAlign w:val="bottom"/>
          </w:tcPr>
          <w:p>
            <w:pPr>
              <w:jc w:val="right"/>
              <w:ind w:right="100"/>
              <w:spacing w:after="0"/>
              <w:rPr>
                <w:sz w:val="20"/>
                <w:szCs w:val="20"/>
                <w:color w:val="auto"/>
              </w:rPr>
            </w:pPr>
            <w:r>
              <w:rPr>
                <w:rFonts w:ascii="Arial" w:cs="Arial" w:eastAsia="Arial" w:hAnsi="Arial"/>
                <w:sz w:val="13"/>
                <w:szCs w:val="13"/>
                <w:b w:val="1"/>
                <w:bCs w:val="1"/>
                <w:color w:val="auto"/>
              </w:rPr>
              <w:t>04-2959321</w:t>
            </w:r>
          </w:p>
        </w:tc>
        <w:tc>
          <w:tcPr>
            <w:tcW w:w="0" w:type="dxa"/>
            <w:vAlign w:val="bottom"/>
          </w:tcPr>
          <w:p>
            <w:pPr>
              <w:spacing w:after="0"/>
              <w:rPr>
                <w:sz w:val="1"/>
                <w:szCs w:val="1"/>
                <w:color w:val="auto"/>
              </w:rPr>
            </w:pPr>
          </w:p>
        </w:tc>
      </w:tr>
      <w:tr>
        <w:trPr>
          <w:trHeight w:val="108"/>
        </w:trPr>
        <w:tc>
          <w:tcPr>
            <w:tcW w:w="6620" w:type="dxa"/>
            <w:vAlign w:val="bottom"/>
            <w:gridSpan w:val="3"/>
          </w:tcPr>
          <w:p>
            <w:pPr>
              <w:jc w:val="center"/>
              <w:ind w:right="1960"/>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1680" w:type="dxa"/>
            <w:vAlign w:val="bottom"/>
          </w:tcPr>
          <w:p>
            <w:pPr>
              <w:jc w:val="center"/>
              <w:ind w:left="680"/>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08"/>
        </w:trPr>
        <w:tc>
          <w:tcPr>
            <w:tcW w:w="6620" w:type="dxa"/>
            <w:vAlign w:val="bottom"/>
            <w:gridSpan w:val="3"/>
          </w:tcPr>
          <w:p>
            <w:pPr>
              <w:jc w:val="center"/>
              <w:ind w:right="1940"/>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1680" w:type="dxa"/>
            <w:vAlign w:val="bottom"/>
          </w:tcPr>
          <w:p>
            <w:pPr>
              <w:jc w:val="center"/>
              <w:ind w:left="660"/>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662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88"/>
              </w:rPr>
              <w:t>64 Jackson Road</w:t>
            </w:r>
          </w:p>
        </w:tc>
        <w:tc>
          <w:tcPr>
            <w:tcW w:w="1680" w:type="dxa"/>
            <w:vAlign w:val="bottom"/>
          </w:tcPr>
          <w:p>
            <w:pPr>
              <w:jc w:val="right"/>
              <w:ind w:right="260"/>
              <w:spacing w:after="0"/>
              <w:rPr>
                <w:sz w:val="20"/>
                <w:szCs w:val="20"/>
                <w:color w:val="auto"/>
              </w:rPr>
            </w:pPr>
            <w:r>
              <w:rPr>
                <w:rFonts w:ascii="Arial" w:cs="Arial" w:eastAsia="Arial" w:hAnsi="Arial"/>
                <w:sz w:val="13"/>
                <w:szCs w:val="13"/>
                <w:b w:val="1"/>
                <w:bCs w:val="1"/>
                <w:color w:val="auto"/>
              </w:rPr>
              <w:t>01434</w:t>
            </w:r>
          </w:p>
        </w:tc>
        <w:tc>
          <w:tcPr>
            <w:tcW w:w="0" w:type="dxa"/>
            <w:vAlign w:val="bottom"/>
          </w:tcPr>
          <w:p>
            <w:pPr>
              <w:spacing w:after="0"/>
              <w:rPr>
                <w:sz w:val="1"/>
                <w:szCs w:val="1"/>
                <w:color w:val="auto"/>
              </w:rPr>
            </w:pPr>
          </w:p>
        </w:tc>
      </w:tr>
      <w:tr>
        <w:trPr>
          <w:trHeight w:val="157"/>
        </w:trPr>
        <w:tc>
          <w:tcPr>
            <w:tcW w:w="662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85"/>
              </w:rPr>
              <w:t>Devens, Massachusetts</w:t>
            </w:r>
          </w:p>
        </w:tc>
        <w:tc>
          <w:tcPr>
            <w:tcW w:w="1680" w:type="dxa"/>
            <w:vAlign w:val="bottom"/>
          </w:tcPr>
          <w:p>
            <w:pPr>
              <w:jc w:val="center"/>
              <w:ind w:left="660"/>
              <w:spacing w:after="0"/>
              <w:rPr>
                <w:sz w:val="20"/>
                <w:szCs w:val="20"/>
                <w:color w:val="auto"/>
              </w:rPr>
            </w:pPr>
            <w:r>
              <w:rPr>
                <w:rFonts w:ascii="Arial" w:cs="Arial" w:eastAsia="Arial" w:hAnsi="Arial"/>
                <w:sz w:val="10"/>
                <w:szCs w:val="10"/>
                <w:i w:val="1"/>
                <w:iCs w:val="1"/>
                <w:color w:val="auto"/>
                <w:w w:val="93"/>
              </w:rPr>
              <w:t>(Zip Code)</w:t>
            </w:r>
          </w:p>
        </w:tc>
        <w:tc>
          <w:tcPr>
            <w:tcW w:w="0" w:type="dxa"/>
            <w:vAlign w:val="bottom"/>
          </w:tcPr>
          <w:p>
            <w:pPr>
              <w:spacing w:after="0"/>
              <w:rPr>
                <w:sz w:val="1"/>
                <w:szCs w:val="1"/>
                <w:color w:val="auto"/>
              </w:rPr>
            </w:pPr>
          </w:p>
        </w:tc>
      </w:tr>
      <w:tr>
        <w:trPr>
          <w:trHeight w:val="131"/>
        </w:trPr>
        <w:tc>
          <w:tcPr>
            <w:tcW w:w="6620" w:type="dxa"/>
            <w:vAlign w:val="bottom"/>
            <w:gridSpan w:val="3"/>
          </w:tcPr>
          <w:p>
            <w:pPr>
              <w:jc w:val="center"/>
              <w:ind w:right="1960"/>
              <w:spacing w:after="0"/>
              <w:rPr>
                <w:sz w:val="20"/>
                <w:szCs w:val="20"/>
                <w:color w:val="auto"/>
              </w:rPr>
            </w:pPr>
            <w:r>
              <w:rPr>
                <w:rFonts w:ascii="Arial" w:cs="Arial" w:eastAsia="Arial" w:hAnsi="Arial"/>
                <w:sz w:val="10"/>
                <w:szCs w:val="10"/>
                <w:i w:val="1"/>
                <w:iCs w:val="1"/>
                <w:color w:val="auto"/>
                <w:w w:val="96"/>
              </w:rPr>
              <w:t>(Address of Principal Executive Offices)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jc w:val="center"/>
              <w:ind w:left="3478"/>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880" w:type="dxa"/>
            <w:vAlign w:val="bottom"/>
            <w:gridSpan w:val="2"/>
          </w:tcPr>
          <w:p>
            <w:pPr>
              <w:jc w:val="center"/>
              <w:ind w:left="4198"/>
              <w:spacing w:after="0"/>
              <w:rPr>
                <w:sz w:val="20"/>
                <w:szCs w:val="20"/>
                <w:color w:val="auto"/>
              </w:rPr>
            </w:pPr>
            <w:r>
              <w:rPr>
                <w:rFonts w:ascii="Arial" w:cs="Arial" w:eastAsia="Arial" w:hAnsi="Arial"/>
                <w:sz w:val="13"/>
                <w:szCs w:val="13"/>
                <w:b w:val="1"/>
                <w:bCs w:val="1"/>
                <w:color w:val="auto"/>
                <w:w w:val="92"/>
              </w:rPr>
              <w:t>(978) 842-3000</w:t>
            </w: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gridSpan w:val="4"/>
          </w:tcPr>
          <w:p>
            <w:pPr>
              <w:jc w:val="center"/>
              <w:ind w:left="1798"/>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9"/>
        </w:trPr>
        <w:tc>
          <w:tcPr>
            <w:tcW w:w="8300" w:type="dxa"/>
            <w:vAlign w:val="bottom"/>
            <w:gridSpan w:val="4"/>
          </w:tcPr>
          <w:p>
            <w:pPr>
              <w:jc w:val="center"/>
              <w:ind w:left="1778"/>
              <w:spacing w:after="0"/>
              <w:rPr>
                <w:sz w:val="20"/>
                <w:szCs w:val="20"/>
                <w:color w:val="auto"/>
              </w:rPr>
            </w:pPr>
            <w:r>
              <w:rPr>
                <w:rFonts w:ascii="Arial" w:cs="Arial" w:eastAsia="Arial" w:hAnsi="Arial"/>
                <w:sz w:val="13"/>
                <w:szCs w:val="13"/>
                <w:b w:val="1"/>
                <w:bCs w:val="1"/>
                <w:color w:val="auto"/>
                <w:w w:val="92"/>
              </w:rPr>
              <w:t>Common Stock, $0.01 par value, NASDAQ Global Select Market</w:t>
            </w:r>
          </w:p>
        </w:tc>
        <w:tc>
          <w:tcPr>
            <w:tcW w:w="0" w:type="dxa"/>
            <w:vAlign w:val="bottom"/>
          </w:tcPr>
          <w:p>
            <w:pPr>
              <w:spacing w:after="0"/>
              <w:rPr>
                <w:sz w:val="1"/>
                <w:szCs w:val="1"/>
                <w:color w:val="auto"/>
              </w:rPr>
            </w:pPr>
          </w:p>
        </w:tc>
      </w:tr>
      <w:tr>
        <w:trPr>
          <w:trHeight w:val="234"/>
        </w:trPr>
        <w:tc>
          <w:tcPr>
            <w:tcW w:w="8300" w:type="dxa"/>
            <w:vAlign w:val="bottom"/>
            <w:gridSpan w:val="4"/>
          </w:tcPr>
          <w:p>
            <w:pPr>
              <w:jc w:val="center"/>
              <w:ind w:left="1798"/>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36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2"/>
              </w:rPr>
              <w:t>None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80" w:type="dxa"/>
            <w:vAlign w:val="bottom"/>
            <w:vMerge w:val="restart"/>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60"/>
        </w:trPr>
        <w:tc>
          <w:tcPr>
            <w:tcW w:w="6620" w:type="dxa"/>
            <w:vAlign w:val="bottom"/>
            <w:gridSpan w:val="3"/>
          </w:tcPr>
          <w:p>
            <w:pPr>
              <w:spacing w:after="0"/>
              <w:rPr>
                <w:sz w:val="20"/>
                <w:szCs w:val="20"/>
                <w:color w:val="auto"/>
              </w:rPr>
            </w:pPr>
            <w:r>
              <w:rPr>
                <w:rFonts w:ascii="Arial" w:cs="Arial" w:eastAsia="Arial" w:hAnsi="Arial"/>
                <w:sz w:val="13"/>
                <w:szCs w:val="13"/>
                <w:color w:val="auto"/>
                <w:w w:val="93"/>
              </w:rPr>
              <w:t>Indicate by checkmark if the registrant is a well-known seasoned issuer, as defined in Rule 405 of the Securities Act. Yes o</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620" w:type="dxa"/>
            <w:vAlign w:val="bottom"/>
            <w:gridSpan w:val="3"/>
          </w:tcPr>
          <w:p>
            <w:pPr>
              <w:spacing w:after="0"/>
              <w:rPr>
                <w:sz w:val="20"/>
                <w:szCs w:val="20"/>
                <w:color w:val="auto"/>
              </w:rPr>
            </w:pPr>
            <w:r>
              <w:rPr>
                <w:rFonts w:ascii="Arial" w:cs="Arial" w:eastAsia="Arial" w:hAnsi="Arial"/>
                <w:sz w:val="13"/>
                <w:szCs w:val="13"/>
                <w:color w:val="auto"/>
                <w:w w:val="92"/>
              </w:rPr>
              <w:t>Indicate by checkmark if the registrant is not required to file reports pursuant to Section 13 or Section 15(d) of the Act. Yes o</w:t>
            </w:r>
          </w:p>
        </w:tc>
        <w:tc>
          <w:tcPr>
            <w:tcW w:w="168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firstLine="324"/>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120"/>
          </w:cols>
          <w:pgMar w:left="220" w:top="127" w:right="559" w:bottom="1440" w:gutter="0" w:footer="0" w:header="0"/>
        </w:sectPr>
      </w:pPr>
    </w:p>
    <w:p>
      <w:pPr>
        <w:spacing w:after="0" w:line="24" w:lineRule="exact"/>
        <w:rPr>
          <w:sz w:val="20"/>
          <w:szCs w:val="20"/>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0"/>
          <w:szCs w:val="20"/>
          <w:color w:val="auto"/>
        </w:rPr>
      </w:pPr>
    </w:p>
    <w:p>
      <w:pPr>
        <w:sectPr>
          <w:pgSz w:w="11900" w:h="16838" w:orient="portrait"/>
          <w:cols w:equalWidth="0" w:num="4">
            <w:col w:w="3180" w:space="720"/>
            <w:col w:w="1080" w:space="720"/>
            <w:col w:w="3160" w:space="720"/>
            <w:col w:w="1540"/>
          </w:cols>
          <w:pgMar w:left="220" w:top="127" w:right="5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380" w:space="160"/>
            <w:col w:w="4580"/>
          </w:cols>
          <w:pgMar w:left="220" w:top="127" w:right="559" w:bottom="1440" w:gutter="0" w:footer="0" w:header="0"/>
          <w:type w:val="continuous"/>
        </w:sectPr>
      </w:pPr>
    </w:p>
    <w:p>
      <w:pPr>
        <w:ind w:left="340" w:firstLine="324"/>
        <w:spacing w:after="0" w:line="27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September 30, 2010, based on the closing price of the shares of Common Stock on the Nasdaq Global Market on that date ($31.10 per share) was $1,391.9 million.</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Number of shares outstanding of the registrant’s Common Stock, as of September 15, 2011 was 50,868,708.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85725</wp:posOffset>
            </wp:positionV>
            <wp:extent cx="684720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FORM 10-K</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EXPLANATORY NOTE</w:t>
      </w:r>
    </w:p>
    <w:p>
      <w:pPr>
        <w:spacing w:after="0" w:line="89"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American Superconductor Corporation (the “Company” or “AMSC”) is filing this Annual Report on Form 10-K for the fiscal year ended March 31, 2011 and its Quarterly Report on Form 10-Q for the quarter ended June 30, 2011 after the due date for such filing. The Company is concurrently filing Amendments to its Quarterly Reports on Form 10-Q with the Securities and Exchange Commission (the “SEC”) with respect to the quarterly periods ended September 30, 2010 and December 31, 2010 to restate its unaudited condensed consolidated financial statements, related notes, key financial data and management’s discussion and analysis of financial condition and results of operations to correct accounting errors in those periods. Readers are strongly urged to read this Annual Report on Form 10-K, Amendments to our Quarterly Reports on Form 10-Q for the quarterly periods ended September 30, 2010 and December 31, 2010 and the Quarterly Report on Form 10-Q for the quarter ended June 30, 2011 together for a more complete understanding of the Company’s financial condition.</w:t>
      </w:r>
    </w:p>
    <w:p>
      <w:pPr>
        <w:spacing w:after="0" w:line="59"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The Company amended the Quarterly Reports on Form 10-Q and delayed filing of this Annual Report on Form 10-K as a result of its determination that revenues were incorrectly recorded during the periods covered by the reports. Specifically, the Company determined that at the time of certain product shipments to certain of its customers in China during the second and third quarters of the Company’s fiscal year ended March 31, 2011, the fees related to the shipments in some cases were not fixed or determinable or collectability was not reasonably assured. As a result, the Company should have recognized the revenues related to those shipments on a cash basis of accounting with cash applied first against accounts receivable balances, as in the case of Sinovel as of September 30, 2010, then costs of shipments (inventory and value added taxes) before recognizing any gross margin. The Company has restated the applicable revenues, cost of goods sold, inventory, accounts receivable and other accounts during the periods affected.</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recorded $155.3 million of charges in the fourth quarter of the fiscal year ended March 31, 2011. The details of the charges and their impact on the consolidated financial statements are described in Note 17, “Quarterly Financial Data (unaudited),” to the consolidated financial statements included in Part II, Item 8 of this Annual Report on Form 10-K.</w:t>
      </w:r>
    </w:p>
    <w:p>
      <w:pPr>
        <w:spacing w:after="0" w:line="6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In connection with the errors identified by the Company resulting in the restatement of the Company’s quarterly unaudited condensed consolidated financial statements, the Company identified control deficiencies in its internal control over financial reporting that constitute material weaknesses. The Company determined that its disclosure controls and procedures were ineffective as of September 30, 2010, December 31, 2010, March 31, 2011, and June 30, 2011. For a discussion of management’s consideration of the Company’s disclosure controls and procedures and the material weaknesses identified, see Part II, Item 9A, “Controls and Procedures,”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tbl>
      <w:tblPr>
        <w:tblLayout w:type="fixed"/>
        <w:tblInd w:w="20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60" w:type="dxa"/>
            <w:vAlign w:val="bottom"/>
            <w:gridSpan w:val="13"/>
          </w:tcPr>
          <w:p>
            <w:pPr>
              <w:jc w:val="center"/>
              <w:ind w:right="354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14"/>
                <w:szCs w:val="14"/>
                <w:color w:val="auto"/>
              </w:rPr>
            </w:pPr>
          </w:p>
        </w:tc>
      </w:tr>
      <w:tr>
        <w:trPr>
          <w:trHeight w:val="296"/>
        </w:trPr>
        <w:tc>
          <w:tcPr>
            <w:tcW w:w="440" w:type="dxa"/>
            <w:vAlign w:val="bottom"/>
            <w:gridSpan w:val="3"/>
          </w:tcPr>
          <w:p>
            <w:pPr>
              <w:ind w:left="100"/>
              <w:spacing w:after="0"/>
              <w:rPr>
                <w:sz w:val="20"/>
                <w:szCs w:val="20"/>
                <w:color w:val="auto"/>
              </w:rPr>
            </w:pPr>
            <w:r>
              <w:rPr>
                <w:rFonts w:ascii="Arial" w:cs="Arial" w:eastAsia="Arial" w:hAnsi="Arial"/>
                <w:sz w:val="10"/>
                <w:szCs w:val="10"/>
                <w:b w:val="1"/>
                <w:bCs w:val="1"/>
                <w:color w:val="auto"/>
              </w:rPr>
              <w:t>Item</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9"/>
          </w:tcPr>
          <w:p>
            <w:pPr>
              <w:jc w:val="center"/>
              <w:ind w:right="4400"/>
              <w:spacing w:after="0"/>
              <w:rPr>
                <w:rFonts w:ascii="Arial" w:cs="Arial" w:eastAsia="Arial" w:hAnsi="Arial"/>
                <w:sz w:val="13"/>
                <w:szCs w:val="13"/>
                <w:b w:val="1"/>
                <w:bCs w:val="1"/>
                <w:color w:val="0000EE"/>
                <w:w w:val="98"/>
              </w:rPr>
            </w:pPr>
            <w:hyperlink w:anchor="page6">
              <w:r>
                <w:rPr>
                  <w:rFonts w:ascii="Arial" w:cs="Arial" w:eastAsia="Arial" w:hAnsi="Arial"/>
                  <w:sz w:val="13"/>
                  <w:szCs w:val="13"/>
                  <w:b w:val="1"/>
                  <w:bCs w:val="1"/>
                  <w:color w:val="0000EE"/>
                  <w:w w:val="98"/>
                </w:rPr>
                <w:t>PART I</w:t>
              </w:r>
            </w:hyperlink>
          </w:p>
        </w:tc>
        <w:tc>
          <w:tcPr>
            <w:tcW w:w="380" w:type="dxa"/>
            <w:vAlign w:val="bottom"/>
          </w:tcPr>
          <w:p>
            <w:pPr>
              <w:spacing w:after="0"/>
              <w:rPr>
                <w:sz w:val="13"/>
                <w:szCs w:val="13"/>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140" w:type="dxa"/>
            <w:vAlign w:val="bottom"/>
            <w:gridSpan w:val="18"/>
          </w:tcPr>
          <w:p>
            <w:pPr>
              <w:ind w:left="140"/>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00" w:type="dxa"/>
            <w:vAlign w:val="bottom"/>
            <w:gridSpan w:val="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40" w:type="dxa"/>
            <w:vAlign w:val="bottom"/>
            <w:gridSpan w:val="3"/>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1A.</w:t>
              </w:r>
            </w:hyperlink>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40" w:type="dxa"/>
            <w:vAlign w:val="bottom"/>
            <w:gridSpan w:val="3"/>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1B.</w:t>
              </w:r>
            </w:hyperlink>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Unresolved Staff Comments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2.</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Properties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3.</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Legal Proceedings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4.</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[Removed and Reserved]</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PART II</w:t>
              </w:r>
            </w:hyperlink>
          </w:p>
        </w:tc>
        <w:tc>
          <w:tcPr>
            <w:tcW w:w="4360" w:type="dxa"/>
            <w:vAlign w:val="bottom"/>
            <w:gridSpan w:val="7"/>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5.</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Market for Registrant’s Common Equity, Related Stockholder Matters and Issuer Purchases of Equity Securities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6.</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Selected Financial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39">
              <w:r>
                <w:rPr>
                  <w:rFonts w:ascii="Arial" w:cs="Arial" w:eastAsia="Arial" w:hAnsi="Arial"/>
                  <w:sz w:val="10"/>
                  <w:szCs w:val="10"/>
                  <w:color w:val="0000EE"/>
                  <w:w w:val="71"/>
                </w:rPr>
                <w:t>7.</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20"/>
        </w:trPr>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40" w:type="dxa"/>
            <w:vAlign w:val="bottom"/>
            <w:gridSpan w:val="3"/>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7A.</w:t>
              </w:r>
            </w:hyperlink>
          </w:p>
        </w:tc>
        <w:tc>
          <w:tcPr>
            <w:tcW w:w="8960" w:type="dxa"/>
            <w:vAlign w:val="bottom"/>
            <w:gridSpan w:val="27"/>
          </w:tcPr>
          <w:p>
            <w:pPr>
              <w:ind w:left="140"/>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Quantitative and Qualitative Disclosures About Market Risk</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58</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65">
              <w:r>
                <w:rPr>
                  <w:rFonts w:ascii="Arial" w:cs="Arial" w:eastAsia="Arial" w:hAnsi="Arial"/>
                  <w:sz w:val="10"/>
                  <w:szCs w:val="10"/>
                  <w:color w:val="0000EE"/>
                  <w:w w:val="71"/>
                </w:rPr>
                <w:t>8.</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Financial Statements and Supplementary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10"/>
                <w:szCs w:val="10"/>
                <w:color w:val="0000EE"/>
                <w:w w:val="71"/>
              </w:rPr>
            </w:pPr>
            <w:hyperlink w:anchor="page108">
              <w:r>
                <w:rPr>
                  <w:rFonts w:ascii="Arial" w:cs="Arial" w:eastAsia="Arial" w:hAnsi="Arial"/>
                  <w:sz w:val="10"/>
                  <w:szCs w:val="10"/>
                  <w:color w:val="0000EE"/>
                  <w:w w:val="71"/>
                </w:rPr>
                <w:t>9.</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08">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103</w:t>
            </w:r>
          </w:p>
        </w:tc>
      </w:tr>
      <w:tr>
        <w:trPr>
          <w:trHeight w:val="20"/>
        </w:trPr>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40" w:type="dxa"/>
            <w:vAlign w:val="bottom"/>
            <w:gridSpan w:val="3"/>
          </w:tcPr>
          <w:p>
            <w:pPr>
              <w:spacing w:after="0" w:line="138" w:lineRule="exact"/>
              <w:rPr>
                <w:rFonts w:ascii="Arial" w:cs="Arial" w:eastAsia="Arial" w:hAnsi="Arial"/>
                <w:sz w:val="13"/>
                <w:szCs w:val="13"/>
                <w:color w:val="0000EE"/>
              </w:rPr>
            </w:pPr>
            <w:hyperlink w:anchor="page108">
              <w:r>
                <w:rPr>
                  <w:rFonts w:ascii="Arial" w:cs="Arial" w:eastAsia="Arial" w:hAnsi="Arial"/>
                  <w:sz w:val="13"/>
                  <w:szCs w:val="13"/>
                  <w:color w:val="0000EE"/>
                </w:rPr>
                <w:t>9A.</w:t>
              </w:r>
            </w:hyperlink>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08">
              <w:r>
                <w:rPr>
                  <w:rFonts w:ascii="Arial" w:cs="Arial" w:eastAsia="Arial" w:hAnsi="Arial"/>
                  <w:sz w:val="13"/>
                  <w:szCs w:val="13"/>
                  <w:color w:val="0000EE"/>
                </w:rPr>
                <w:t>Controls and Procedures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103</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40" w:type="dxa"/>
            <w:vAlign w:val="bottom"/>
            <w:gridSpan w:val="3"/>
          </w:tcPr>
          <w:p>
            <w:pPr>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9B.</w:t>
              </w:r>
            </w:hyperlink>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Other Information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11">
              <w:r>
                <w:rPr>
                  <w:rFonts w:ascii="Arial" w:cs="Arial" w:eastAsia="Arial" w:hAnsi="Arial"/>
                  <w:sz w:val="13"/>
                  <w:szCs w:val="13"/>
                  <w:b w:val="1"/>
                  <w:bCs w:val="1"/>
                  <w:color w:val="0000EE"/>
                </w:rPr>
                <w:t>PART III</w:t>
              </w:r>
            </w:hyperlink>
          </w:p>
        </w:tc>
        <w:tc>
          <w:tcPr>
            <w:tcW w:w="4320" w:type="dxa"/>
            <w:vAlign w:val="bottom"/>
            <w:gridSpan w:val="5"/>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11">
              <w:r>
                <w:rPr>
                  <w:rFonts w:ascii="Arial" w:cs="Arial" w:eastAsia="Arial" w:hAnsi="Arial"/>
                  <w:sz w:val="5"/>
                  <w:szCs w:val="5"/>
                  <w:color w:val="0000EE"/>
                  <w:w w:val="85"/>
                </w:rPr>
                <w:t>10.</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11">
              <w:r>
                <w:rPr>
                  <w:rFonts w:ascii="Arial" w:cs="Arial" w:eastAsia="Arial" w:hAnsi="Arial"/>
                  <w:sz w:val="13"/>
                  <w:szCs w:val="13"/>
                  <w:color w:val="0000EE"/>
                </w:rPr>
                <w:t>Directors, Executive Officers and Corporate Governance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106</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13">
              <w:r>
                <w:rPr>
                  <w:rFonts w:ascii="Arial" w:cs="Arial" w:eastAsia="Arial" w:hAnsi="Arial"/>
                  <w:sz w:val="5"/>
                  <w:szCs w:val="5"/>
                  <w:color w:val="0000EE"/>
                  <w:w w:val="85"/>
                </w:rPr>
                <w:t>11.</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13">
              <w:r>
                <w:rPr>
                  <w:rFonts w:ascii="Arial" w:cs="Arial" w:eastAsia="Arial" w:hAnsi="Arial"/>
                  <w:sz w:val="13"/>
                  <w:szCs w:val="13"/>
                  <w:color w:val="0000EE"/>
                </w:rPr>
                <w:t>Executive Compensation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108</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32">
              <w:r>
                <w:rPr>
                  <w:rFonts w:ascii="Arial" w:cs="Arial" w:eastAsia="Arial" w:hAnsi="Arial"/>
                  <w:sz w:val="5"/>
                  <w:szCs w:val="5"/>
                  <w:color w:val="0000EE"/>
                  <w:w w:val="85"/>
                </w:rPr>
                <w:t>12.</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127</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EE"/>
            </w:tcBorders>
            <w:gridSpan w:val="10"/>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34">
              <w:r>
                <w:rPr>
                  <w:rFonts w:ascii="Arial" w:cs="Arial" w:eastAsia="Arial" w:hAnsi="Arial"/>
                  <w:sz w:val="5"/>
                  <w:szCs w:val="5"/>
                  <w:color w:val="0000EE"/>
                  <w:w w:val="85"/>
                </w:rPr>
                <w:t>13.</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34">
              <w:r>
                <w:rPr>
                  <w:rFonts w:ascii="Arial" w:cs="Arial" w:eastAsia="Arial" w:hAnsi="Arial"/>
                  <w:sz w:val="13"/>
                  <w:szCs w:val="13"/>
                  <w:color w:val="0000EE"/>
                </w:rPr>
                <w:t>Certain Relationships and Related Transactions and Director Independence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129</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36">
              <w:r>
                <w:rPr>
                  <w:rFonts w:ascii="Arial" w:cs="Arial" w:eastAsia="Arial" w:hAnsi="Arial"/>
                  <w:sz w:val="5"/>
                  <w:szCs w:val="5"/>
                  <w:color w:val="0000EE"/>
                  <w:w w:val="85"/>
                </w:rPr>
                <w:t>14.</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960" w:type="dxa"/>
            <w:vAlign w:val="bottom"/>
            <w:gridSpan w:val="27"/>
          </w:tcPr>
          <w:p>
            <w:pPr>
              <w:ind w:left="140"/>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Principal Accountant Fees and Services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131</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60" w:type="dxa"/>
            <w:vAlign w:val="bottom"/>
            <w:gridSpan w:val="11"/>
          </w:tcPr>
          <w:p>
            <w:pPr>
              <w:jc w:val="center"/>
              <w:ind w:right="4340"/>
              <w:spacing w:after="0"/>
              <w:rPr>
                <w:rFonts w:ascii="Arial" w:cs="Arial" w:eastAsia="Arial" w:hAnsi="Arial"/>
                <w:sz w:val="13"/>
                <w:szCs w:val="13"/>
                <w:b w:val="1"/>
                <w:bCs w:val="1"/>
                <w:color w:val="0000EE"/>
              </w:rPr>
            </w:pPr>
            <w:hyperlink w:anchor="page137">
              <w:r>
                <w:rPr>
                  <w:rFonts w:ascii="Arial" w:cs="Arial" w:eastAsia="Arial" w:hAnsi="Arial"/>
                  <w:sz w:val="13"/>
                  <w:szCs w:val="13"/>
                  <w:b w:val="1"/>
                  <w:bCs w:val="1"/>
                  <w:color w:val="0000EE"/>
                </w:rPr>
                <w:t>PART IV</w:t>
              </w:r>
            </w:hyperlink>
          </w:p>
        </w:tc>
        <w:tc>
          <w:tcPr>
            <w:tcW w:w="380" w:type="dxa"/>
            <w:vAlign w:val="bottom"/>
          </w:tcPr>
          <w:p>
            <w:pPr>
              <w:spacing w:after="0"/>
              <w:rPr>
                <w:sz w:val="22"/>
                <w:szCs w:val="22"/>
                <w:color w:val="auto"/>
              </w:rPr>
            </w:pPr>
          </w:p>
        </w:tc>
      </w:tr>
      <w:tr>
        <w:trPr>
          <w:trHeight w:val="137"/>
        </w:trPr>
        <w:tc>
          <w:tcPr>
            <w:tcW w:w="100" w:type="dxa"/>
            <w:vAlign w:val="bottom"/>
          </w:tcPr>
          <w:p>
            <w:pPr>
              <w:spacing w:after="0"/>
              <w:rPr>
                <w:rFonts w:ascii="Arial" w:cs="Arial" w:eastAsia="Arial" w:hAnsi="Arial"/>
                <w:sz w:val="5"/>
                <w:szCs w:val="5"/>
                <w:color w:val="0000EE"/>
                <w:w w:val="85"/>
              </w:rPr>
            </w:pPr>
            <w:hyperlink w:anchor="page137">
              <w:r>
                <w:rPr>
                  <w:rFonts w:ascii="Arial" w:cs="Arial" w:eastAsia="Arial" w:hAnsi="Arial"/>
                  <w:sz w:val="5"/>
                  <w:szCs w:val="5"/>
                  <w:color w:val="0000EE"/>
                  <w:w w:val="85"/>
                </w:rPr>
                <w:t>15.</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120" w:type="dxa"/>
            <w:vAlign w:val="bottom"/>
            <w:gridSpan w:val="17"/>
          </w:tcPr>
          <w:p>
            <w:pPr>
              <w:ind w:left="140"/>
              <w:spacing w:after="0" w:line="138" w:lineRule="exact"/>
              <w:rPr>
                <w:rFonts w:ascii="Arial" w:cs="Arial" w:eastAsia="Arial" w:hAnsi="Arial"/>
                <w:sz w:val="13"/>
                <w:szCs w:val="13"/>
                <w:color w:val="0000EE"/>
              </w:rPr>
            </w:pPr>
            <w:hyperlink w:anchor="page137">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40" w:type="dxa"/>
            <w:vAlign w:val="bottom"/>
            <w:gridSpan w:val="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74295</wp:posOffset>
            </wp:positionV>
            <wp:extent cx="11423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7" w:lineRule="exact"/>
        <w:rPr>
          <w:sz w:val="20"/>
          <w:szCs w:val="20"/>
          <w:color w:val="auto"/>
        </w:rPr>
      </w:pPr>
    </w:p>
    <w:p>
      <w:pPr>
        <w:jc w:val="both"/>
        <w:ind w:firstLine="399"/>
        <w:spacing w:after="0" w:line="277" w:lineRule="auto"/>
        <w:rPr>
          <w:sz w:val="20"/>
          <w:szCs w:val="20"/>
          <w:color w:val="auto"/>
        </w:rPr>
      </w:pPr>
      <w:r>
        <w:rPr>
          <w:rFonts w:ascii="Arial" w:cs="Arial" w:eastAsia="Arial" w:hAnsi="Arial"/>
          <w:sz w:val="12"/>
          <w:szCs w:val="12"/>
          <w:color w:val="auto"/>
        </w:rPr>
        <w:t>This Annual Report on Form 10-K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a significant portion of our revenues has been derived from Sinovel Wind Group Co. Ltd., (“Sinovel”), which has stopped accepting scheduled deliveries and refused to pay amounts outstanding;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 we will require significant additional funding and may be unable to raise capital when needed, which could force us to delay, reduce or eliminate planned activities, including the planned acquisition of The Switch Engineering Oy (“The Switch”); we have a history of operating losses, and we may incur additional losses in the future; our operating results may fluctuate significantly from quarter to quarter and may fall below expectations in any particular fiscal quarter; if we fail to complete the planned acquisition of The Switch, our operating results and financial condition could be harmed and the price of our common stock could decline; completion of the planned acquisition of The Switch could present certain risks to our business; adverse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85725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4" w:lineRule="auto"/>
        <w:rPr>
          <w:sz w:val="20"/>
          <w:szCs w:val="20"/>
          <w:color w:val="auto"/>
        </w:rPr>
      </w:pPr>
      <w:r>
        <w:rPr>
          <w:rFonts w:ascii="Arial" w:cs="Arial" w:eastAsia="Arial" w:hAnsi="Arial"/>
          <w:sz w:val="12"/>
          <w:szCs w:val="12"/>
          <w:color w:val="auto"/>
        </w:rPr>
        <w:t>domestic and global economic conditions could adversely affect our operating results; changes in exchange rates could adversely affect our results from operations; we have identified material weaknesses in our internal control over financial reporting and if we fail to remediate these weaknesses and maintain proper and effective internal controls over financial reporting, our ability to produce accurate and timely financial statements could be impaired and may lead investors and other users to lose confidence in our financial data; if we fail to implement our business strategy successfully, our financial performance could be harmed; we may not realize all of the sales expected from our backlog of orders and contracts; many of our revenue opportunities are dependent upon subcontractors and other business collaborators; our products face intense competition, which could limit our ability to acquire or retain customers;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our international operations are subject to risks that we do not face in the United States, which could have an adverse effect on our operating results;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many of our customer relationships outside of the United States are, either directly or indirectly, with governmental entities, and we could be adversely affected by violations of the United States Foreign Corrupt Practices Act and similar worldwide anti-bribery laws outside the United States; we rely upon third party suppliers for the components and subassemblies of many of our Wind and Grid products, making us vulnerable to supply shortages and price fluctuations, which could harm our business; we are becoming increasingly reliant on contracts that require the issuance of performance bonds; problems with product quality or product performance may cause us to incur warranty expenses and may damage our market reputation and prevent us from achieving increased sales and market share; our success in addressing the wind energy market is dependent on the manufacturers that license our designs; growth of the wind energy market depends largely on the availability and size of government subsidies and economic incentives;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the commercial uses of superconductor products are limited today, and a widespread commercial market for our products may not develop; we have limited experience in marketing and selling our superconductor products and system-level solutions, and our failure to effectively market and sell our products and solutions could lower our revenue and cash flow;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we may be unable to adequately prevent disclosure of trade secrets and other proprietary information; we have filed a demand for arbitration and other lawsuits against Sinovel regarding amounts we contend are due and owing and are in dispute; we cannot be certain as to the outcome of the proceedings against Sinovel; we have been named as a party to purported stockholder class actions and shareholder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technology and products could infringe intellectual property rights of others, which may require costly litigation and, if we are not successful, could cause us to pay substantial damages and disrupt our business; our patents may not provide meaningful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and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1. Item 1A of this Form 10-K for the fiscal year ended March 31, 2011,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Overview</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 based products. Our wind and power grid products and services provide exceptional reliability, security, efficiency and affordability to our customers.</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Since our inception, we have served more than ten wind turbine manufacturing customers including Dongfang Turbine Company in China, Inox Wind in India, Hyundai Heavy Industries in South Korea and TECO in Taiwan. We have also served over 100 customers in the grid market since our inception, including American Electric Power and Long Island Power Authority in the United States, EDF Group in France and Ergon Energy in Australia. We serve customers globally through a localized sales and field service presence in our core target markets.</w:t>
      </w:r>
    </w:p>
    <w:p>
      <w:pPr>
        <w:spacing w:after="0" w:line="70"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and national levels, including renewable portfolio standards, tax incentives and international treaties. We estimate that the total addressable global market for our wind and grid solutions is approximately $10 billion.</w:t>
      </w:r>
    </w:p>
    <w:p>
      <w:pPr>
        <w:spacing w:after="0" w:line="3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March 12, 2011, we entered into a definitive agreement to acquire The Switch Engineering Oy, headquartered in Vantaa, Finland. The Switch designs, manufactures and markets wind power products, including permanent magnet generators and power converter systems, as well as grid products such as commercial and small utility-scale solar inverters to customers in Asia, including China, Europe and North America.</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of April 1, 2011, we are segmenting our operations into two new market-facing business units: Wind and Grid. We believe this market-centric structure enables us to more effectively anticipate and meet the needs of wind turbine manufacturers, power generation project developers and electric utilities.</w:t>
      </w:r>
    </w:p>
    <w:p>
      <w:pPr>
        <w:spacing w:after="0" w:line="59" w:lineRule="exact"/>
        <w:rPr>
          <w:sz w:val="20"/>
          <w:szCs w:val="20"/>
          <w:color w:val="auto"/>
        </w:rPr>
      </w:pPr>
    </w:p>
    <w:p>
      <w:pPr>
        <w:jc w:val="both"/>
        <w:ind w:left="1280" w:hanging="190"/>
        <w:spacing w:after="0" w:line="316" w:lineRule="auto"/>
        <w:tabs>
          <w:tab w:leader="none" w:pos="128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Wind. </w:t>
      </w:r>
      <w:r>
        <w:rPr>
          <w:rFonts w:ascii="Arial" w:cs="Arial" w:eastAsia="Arial" w:hAnsi="Arial"/>
          <w:sz w:val="11"/>
          <w:szCs w:val="11"/>
          <w:color w:val="auto"/>
        </w:rPr>
        <w:t>Through our Windtec brand, our Wind business enables manufacturers to field wind turbines with exceptional power output, reliability and affordability. We license our</w:t>
      </w:r>
      <w:r>
        <w:rPr>
          <w:rFonts w:ascii="Arial" w:cs="Arial" w:eastAsia="Arial" w:hAnsi="Arial"/>
          <w:sz w:val="11"/>
          <w:szCs w:val="11"/>
          <w:i w:val="1"/>
          <w:iCs w:val="1"/>
          <w:color w:val="auto"/>
        </w:rPr>
        <w:t xml:space="preserve"> </w:t>
      </w:r>
      <w:r>
        <w:rPr>
          <w:rFonts w:ascii="Arial" w:cs="Arial" w:eastAsia="Arial" w:hAnsi="Arial"/>
          <w:sz w:val="11"/>
          <w:szCs w:val="11"/>
          <w:color w:val="auto"/>
        </w:rPr>
        <w:t>highly engineered wind turbine designs, provide extensive customer support services and supply advanced power electronics and control systems to wind turbine manufacturers.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32" w:lineRule="exact"/>
        <w:rPr>
          <w:rFonts w:ascii="Arial" w:cs="Arial" w:eastAsia="Arial" w:hAnsi="Arial"/>
          <w:sz w:val="11"/>
          <w:szCs w:val="11"/>
          <w:color w:val="auto"/>
        </w:rPr>
      </w:pPr>
    </w:p>
    <w:p>
      <w:pPr>
        <w:jc w:val="both"/>
        <w:ind w:left="1280" w:hanging="190"/>
        <w:spacing w:after="0" w:line="260"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Grid. </w:t>
      </w:r>
      <w:r>
        <w:rPr>
          <w:rFonts w:ascii="Arial" w:cs="Arial" w:eastAsia="Arial" w:hAnsi="Arial"/>
          <w:sz w:val="13"/>
          <w:szCs w:val="13"/>
          <w:color w:val="auto"/>
        </w:rPr>
        <w:t>Our Grid segment enables electric utilities and renewable energy project developers to connect, transmit and distribute power with exceptional efficiency, reliability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Prior to April 1, 2011, we segmented our operations through two technology-centric business units: AMSC Power Systems and AMSC Superconductors. AMSC Power Systems included all of our Wind products, as well as Grid products that regulate voltage for wind farm voltage electric utilities, renewable generation project developers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industrial operations. Solutions from our AMSC Superconductors business unit have been incorporated into our Grid business unit.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fiscal year begins on April 1 and ends on March 31. When we refer to a particular fiscal year, we are referring to the fiscal year beginning on April 1 of that same year. For example, fiscal 2010 refers to the fiscal year beginning on April 1, 2010. Other fiscal years follow similarly.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our competitive strengths position us well to execute on our growth plans in the markets we serve.</w:t>
      </w:r>
    </w:p>
    <w:p>
      <w:pPr>
        <w:spacing w:after="0" w:line="96" w:lineRule="exact"/>
        <w:rPr>
          <w:sz w:val="20"/>
          <w:szCs w:val="20"/>
          <w:color w:val="auto"/>
        </w:rPr>
      </w:pPr>
    </w:p>
    <w:p>
      <w:pPr>
        <w:jc w:val="both"/>
        <w:ind w:left="1280" w:hanging="190"/>
        <w:spacing w:after="0" w:line="289"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Unique Solutions for the Wind and Grid Markets. </w:t>
      </w:r>
      <w:r>
        <w:rPr>
          <w:rFonts w:ascii="Arial" w:cs="Arial" w:eastAsia="Arial" w:hAnsi="Arial"/>
          <w:sz w:val="12"/>
          <w:szCs w:val="12"/>
          <w:color w:val="auto"/>
        </w:rPr>
        <w:t>We believe we are the only company in the world that provides wind turbine manufacturers with an integrated approach of wind</w:t>
      </w:r>
      <w:r>
        <w:rPr>
          <w:rFonts w:ascii="Arial" w:cs="Arial" w:eastAsia="Arial" w:hAnsi="Arial"/>
          <w:sz w:val="12"/>
          <w:szCs w:val="12"/>
          <w:i w:val="1"/>
          <w:iCs w:val="1"/>
          <w:color w:val="auto"/>
        </w:rPr>
        <w:t xml:space="preserve"> </w:t>
      </w:r>
      <w:r>
        <w:rPr>
          <w:rFonts w:ascii="Arial" w:cs="Arial" w:eastAsia="Arial" w:hAnsi="Arial"/>
          <w:sz w:val="12"/>
          <w:szCs w:val="12"/>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transmission and distribution systems for power grid operators. This unique scope of supply provides us with greater insight into our customers’ evolving needs and greater cross-selling opportunities as our company grows.</w:t>
      </w:r>
    </w:p>
    <w:p>
      <w:pPr>
        <w:spacing w:after="0" w:line="43" w:lineRule="exact"/>
        <w:rPr>
          <w:rFonts w:ascii="Arial" w:cs="Arial" w:eastAsia="Arial" w:hAnsi="Arial"/>
          <w:sz w:val="12"/>
          <w:szCs w:val="12"/>
          <w:color w:val="auto"/>
        </w:rPr>
      </w:pPr>
    </w:p>
    <w:p>
      <w:pPr>
        <w:jc w:val="both"/>
        <w:ind w:left="128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Differentiated Technologies. </w:t>
      </w:r>
      <w:r>
        <w:rPr>
          <w:rFonts w:ascii="Arial" w:cs="Arial" w:eastAsia="Arial" w:hAnsi="Arial"/>
          <w:sz w:val="13"/>
          <w:szCs w:val="13"/>
          <w:color w:val="auto"/>
        </w:rPr>
        <w:t>Our PowerModule</w:t>
      </w:r>
      <w:r>
        <w:rPr>
          <w:rFonts w:ascii="Arial" w:cs="Arial" w:eastAsia="Arial" w:hAnsi="Arial"/>
          <w:sz w:val="7"/>
          <w:szCs w:val="7"/>
          <w:color w:val="auto"/>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power converters are based on proprietary software and hardware combinations and are used in a broad array of applications,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our D-VAR</w:t>
      </w:r>
      <w:r>
        <w:rPr>
          <w:rFonts w:ascii="Arial" w:cs="Arial" w:eastAsia="Arial" w:hAnsi="Arial"/>
          <w:sz w:val="11"/>
          <w:szCs w:val="11"/>
          <w:color w:val="auto"/>
        </w:rPr>
        <w:t>®</w:t>
      </w:r>
      <w:r>
        <w:rPr>
          <w:rFonts w:ascii="Arial" w:cs="Arial" w:eastAsia="Arial" w:hAnsi="Arial"/>
          <w:sz w:val="13"/>
          <w:szCs w:val="13"/>
          <w:color w:val="auto"/>
        </w:rPr>
        <w:t xml:space="preserve"> grid interconnection and voltage control systems, as well as our wind turbine core electrical components and electrical control systems. Our proprietary Amperium</w:t>
      </w:r>
      <w:r>
        <w:rPr>
          <w:rFonts w:ascii="Arial" w:cs="Arial" w:eastAsia="Arial" w:hAnsi="Arial"/>
          <w:sz w:val="7"/>
          <w:szCs w:val="7"/>
          <w:color w:val="auto"/>
        </w:rPr>
        <w:t>TM</w:t>
      </w:r>
      <w:r>
        <w:rPr>
          <w:rFonts w:ascii="Arial" w:cs="Arial" w:eastAsia="Arial" w:hAnsi="Arial"/>
          <w:sz w:val="13"/>
          <w:szCs w:val="13"/>
          <w:color w:val="auto"/>
        </w:rPr>
        <w:t xml:space="preserve"> wire was engineered to allow us to tailor the product via laminations to meet the electrical and mechanical performance requirements of widely varying end-use applications, including power cables and fault current limiters for the Grid market and generators for the Wind market.</w:t>
      </w:r>
    </w:p>
    <w:p>
      <w:pPr>
        <w:spacing w:after="0" w:line="5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Highly Scalable, Low-Cost Manufacturing Platform. </w:t>
      </w:r>
      <w:r>
        <w:rPr>
          <w:rFonts w:ascii="Arial" w:cs="Arial" w:eastAsia="Arial" w:hAnsi="Arial"/>
          <w:sz w:val="13"/>
          <w:szCs w:val="13"/>
          <w:color w:val="auto"/>
        </w:rPr>
        <w:t>We can increase the production of our proprietary power electronics and superconductor technologies at costs that we</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are low relative to our competitors. Our proprietary manufacturing technique for Amperium</w:t>
      </w:r>
      <w:r>
        <w:rPr>
          <w:rFonts w:ascii="Arial" w:cs="Arial" w:eastAsia="Arial" w:hAnsi="Arial"/>
          <w:sz w:val="7"/>
          <w:szCs w:val="7"/>
          <w:color w:val="auto"/>
        </w:rPr>
        <w:t>TM</w:t>
      </w:r>
      <w:r>
        <w:rPr>
          <w:rFonts w:ascii="Arial" w:cs="Arial" w:eastAsia="Arial" w:hAnsi="Arial"/>
          <w:sz w:val="13"/>
          <w:szCs w:val="13"/>
          <w:color w:val="auto"/>
        </w:rPr>
        <w:t xml:space="preserve"> wires is modular in nature, which allows us to expand manufacturing capacity at a relatively low incremental cost.</w:t>
      </w:r>
    </w:p>
    <w:p>
      <w:pPr>
        <w:spacing w:after="0" w:line="57"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Robust Patent Position and Engineering Expertise. </w:t>
      </w:r>
      <w:r>
        <w:rPr>
          <w:rFonts w:ascii="Arial" w:cs="Arial" w:eastAsia="Arial" w:hAnsi="Arial"/>
          <w:sz w:val="13"/>
          <w:szCs w:val="13"/>
          <w:color w:val="auto"/>
        </w:rPr>
        <w:t>As of March 31, 2011, we owned more than 610 patents and patent applications worldwide, and had rights through exclusive</w:t>
      </w:r>
      <w:r>
        <w:rPr>
          <w:rFonts w:ascii="Arial" w:cs="Arial" w:eastAsia="Arial" w:hAnsi="Arial"/>
          <w:sz w:val="13"/>
          <w:szCs w:val="13"/>
          <w:i w:val="1"/>
          <w:iCs w:val="1"/>
          <w:color w:val="auto"/>
        </w:rPr>
        <w:t xml:space="preserve"> </w:t>
      </w:r>
      <w:r>
        <w:rPr>
          <w:rFonts w:ascii="Arial" w:cs="Arial" w:eastAsia="Arial" w:hAnsi="Arial"/>
          <w:sz w:val="13"/>
          <w:szCs w:val="13"/>
          <w:color w:val="auto"/>
        </w:rPr>
        <w:t>and non-exclusive licenses to more than 320 additional patents and patent applications. We believe our technology and manufacturing knowledge base, customer and product expertise and patent portfolio provide a strong competitive position.</w:t>
      </w:r>
    </w:p>
    <w:p>
      <w:pPr>
        <w:spacing w:after="0" w:line="57" w:lineRule="exact"/>
        <w:rPr>
          <w:rFonts w:ascii="Arial" w:cs="Arial" w:eastAsia="Arial" w:hAnsi="Arial"/>
          <w:sz w:val="13"/>
          <w:szCs w:val="13"/>
          <w:color w:val="auto"/>
        </w:rPr>
      </w:pPr>
    </w:p>
    <w:p>
      <w:pPr>
        <w:jc w:val="both"/>
        <w:ind w:left="128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Experienced Team. </w:t>
      </w:r>
      <w:r>
        <w:rPr>
          <w:rFonts w:ascii="Arial" w:cs="Arial" w:eastAsia="Arial" w:hAnsi="Arial"/>
          <w:sz w:val="13"/>
          <w:szCs w:val="13"/>
          <w:color w:val="auto"/>
        </w:rPr>
        <w:t>Our senior management team has extensive energy experience and is composed of veterans of the electrical equipment, utility and wind power markets. As of</w:t>
      </w:r>
      <w:r>
        <w:rPr>
          <w:rFonts w:ascii="Arial" w:cs="Arial" w:eastAsia="Arial" w:hAnsi="Arial"/>
          <w:sz w:val="13"/>
          <w:szCs w:val="13"/>
          <w:i w:val="1"/>
          <w:iCs w:val="1"/>
          <w:color w:val="auto"/>
        </w:rPr>
        <w:t xml:space="preserve"> </w:t>
      </w:r>
      <w:r>
        <w:rPr>
          <w:rFonts w:ascii="Arial" w:cs="Arial" w:eastAsia="Arial" w:hAnsi="Arial"/>
          <w:sz w:val="13"/>
          <w:szCs w:val="13"/>
          <w:color w:val="auto"/>
        </w:rPr>
        <w:t>March 31, 2011, management was supported by 848 employees worldwide, 32 of whom hold Ph.Ds in materials science, physics, metallurgy, engineering or other fields. In August 2011, we initiated a restructuring plan to reorganize global operations, streamline various functions of the business, and reduce our global workforce to match the demand for our products. As of August 31, 2011, we employed 599 persons.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Building on these competitive strengths, we will continue to focus on driving revenue growth and enhancing our operating results through the objectives defined below.</w:t>
      </w:r>
    </w:p>
    <w:p>
      <w:pPr>
        <w:spacing w:after="0" w:line="96" w:lineRule="exact"/>
        <w:rPr>
          <w:sz w:val="20"/>
          <w:szCs w:val="20"/>
          <w:color w:val="auto"/>
        </w:rPr>
      </w:pPr>
    </w:p>
    <w:p>
      <w:pPr>
        <w:ind w:left="12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Provide Solutions from Power Generation to Delivery. </w:t>
      </w:r>
      <w:r>
        <w:rPr>
          <w:rFonts w:ascii="Arial" w:cs="Arial" w:eastAsia="Arial" w:hAnsi="Arial"/>
          <w:sz w:val="13"/>
          <w:szCs w:val="13"/>
          <w:color w:val="auto"/>
        </w:rPr>
        <w:t>From the generation source to the consumer, we focus on providing best-in-class engineering, support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technologies and solutions that make the world’s power supplies cleaner, smarter and stronger.</w:t>
      </w:r>
    </w:p>
    <w:p>
      <w:pPr>
        <w:spacing w:after="0" w:line="4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Focus on “Megawatt-Scale” Power Offerings. </w:t>
      </w:r>
      <w:r>
        <w:rPr>
          <w:rFonts w:ascii="Arial" w:cs="Arial" w:eastAsia="Arial" w:hAnsi="Arial"/>
          <w:sz w:val="13"/>
          <w:szCs w:val="13"/>
          <w:color w:val="auto"/>
        </w:rPr>
        <w:t>Our research, product development and sales efforts focus on megawatt-scale offerings ranging from designs of and power</w:t>
      </w:r>
      <w:r>
        <w:rPr>
          <w:rFonts w:ascii="Arial" w:cs="Arial" w:eastAsia="Arial" w:hAnsi="Arial"/>
          <w:sz w:val="13"/>
          <w:szCs w:val="13"/>
          <w:i w:val="1"/>
          <w:iCs w:val="1"/>
          <w:color w:val="auto"/>
        </w:rPr>
        <w:t xml:space="preserve"> </w:t>
      </w:r>
      <w:r>
        <w:rPr>
          <w:rFonts w:ascii="Arial" w:cs="Arial" w:eastAsia="Arial" w:hAnsi="Arial"/>
          <w:sz w:val="13"/>
          <w:szCs w:val="13"/>
          <w:color w:val="auto"/>
        </w:rPr>
        <w:t>electronics for large wind turbine platforms to systems that stabilize power flows, integrate renewable power into the grid and carry power to and from transmission and distribution substations.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280" w:hanging="190"/>
        <w:spacing w:after="0" w:line="289"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Pursue Emerging Overseas Markets and Serve Key Markets Locally. </w:t>
      </w:r>
      <w:r>
        <w:rPr>
          <w:rFonts w:ascii="Arial" w:cs="Arial" w:eastAsia="Arial" w:hAnsi="Arial"/>
          <w:sz w:val="12"/>
          <w:szCs w:val="12"/>
          <w:color w:val="auto"/>
        </w:rPr>
        <w:t>We focus our sales efforts on overseas markets that are investing aggressively in renewable energy and</w:t>
      </w:r>
      <w:r>
        <w:rPr>
          <w:rFonts w:ascii="Arial" w:cs="Arial" w:eastAsia="Arial" w:hAnsi="Arial"/>
          <w:sz w:val="12"/>
          <w:szCs w:val="12"/>
          <w:i w:val="1"/>
          <w:iCs w:val="1"/>
          <w:color w:val="auto"/>
        </w:rPr>
        <w:t xml:space="preserve"> </w:t>
      </w:r>
      <w:r>
        <w:rPr>
          <w:rFonts w:ascii="Arial" w:cs="Arial" w:eastAsia="Arial" w:hAnsi="Arial"/>
          <w:sz w:val="12"/>
          <w:szCs w:val="12"/>
          <w:color w:val="auto"/>
        </w:rPr>
        <w:t>power grid projects, and we have been particularly successful in targeting key Asian markets, including China, India and South Korea. As part of our strategy, we serve our key target markets with local sales and field service personnel, which enables us to understand market dynamics and more effectively anticipate customer needs while also reducing response time. We currently have operations in target markets such as Australia, China, India and South Korea, and we plan to open additional offices in the future.</w:t>
      </w:r>
    </w:p>
    <w:p>
      <w:pPr>
        <w:spacing w:after="0" w:line="43" w:lineRule="exact"/>
        <w:rPr>
          <w:rFonts w:ascii="Arial" w:cs="Arial" w:eastAsia="Arial" w:hAnsi="Arial"/>
          <w:sz w:val="12"/>
          <w:szCs w:val="12"/>
          <w:color w:val="auto"/>
        </w:rPr>
      </w:pPr>
    </w:p>
    <w:p>
      <w:pPr>
        <w:jc w:val="both"/>
        <w:ind w:left="128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Product Innovation. </w:t>
      </w:r>
      <w:r>
        <w:rPr>
          <w:rFonts w:ascii="Arial" w:cs="Arial" w:eastAsia="Arial" w:hAnsi="Arial"/>
          <w:sz w:val="13"/>
          <w:szCs w:val="13"/>
          <w:color w:val="auto"/>
        </w:rPr>
        <w:t>We have a strong record of developing unique solutions for megawatt-scale power applications and will continue our focus on investing in innovation. In</w:t>
      </w:r>
      <w:r>
        <w:rPr>
          <w:rFonts w:ascii="Arial" w:cs="Arial" w:eastAsia="Arial" w:hAnsi="Arial"/>
          <w:sz w:val="13"/>
          <w:szCs w:val="13"/>
          <w:i w:val="1"/>
          <w:iCs w:val="1"/>
          <w:color w:val="auto"/>
        </w:rPr>
        <w:t xml:space="preserve"> </w:t>
      </w:r>
      <w:r>
        <w:rPr>
          <w:rFonts w:ascii="Arial" w:cs="Arial" w:eastAsia="Arial" w:hAnsi="Arial"/>
          <w:sz w:val="13"/>
          <w:szCs w:val="13"/>
          <w:color w:val="auto"/>
        </w:rPr>
        <w:t>recent years, our product development efforts have included wind power-specific power converters, utility-scale solar grid interconnection systems and superconductor-based generators for 10 megawatt-scale wind turbines.</w:t>
      </w:r>
    </w:p>
    <w:p>
      <w:pPr>
        <w:spacing w:after="0" w:line="57"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Pursue Targeted Strategic Acquisitions and Alliances. </w:t>
      </w:r>
      <w:r>
        <w:rPr>
          <w:rFonts w:ascii="Arial" w:cs="Arial" w:eastAsia="Arial" w:hAnsi="Arial"/>
          <w:sz w:val="13"/>
          <w:szCs w:val="13"/>
          <w:color w:val="auto"/>
        </w:rPr>
        <w:t>We will continue to pursue strategic business relationships and acquisitions that complement our product portfolio and</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our rate of growth. We have built strategic alliances and close corporate relationships with many industry leaders (including LS Cable, Nexans, Siemens and Vestas) to develop and commercialize our products.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Market Opportunities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solutions address two substantial global demands:</w:t>
      </w:r>
    </w:p>
    <w:p>
      <w:pPr>
        <w:spacing w:after="0" w:line="96"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demand for renewable sources of electricity,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demand for modernized, smart power grid infrastructure that alleviates capacity constraints and improves the reliability, security and efficiency.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 Market Overview</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market for wind-generated, zero-emission electricity has been growing dramatically for more than a decade. According to the Global Wind Energy Council (the “GWEC”), more than 38,000 megawatts (“MW”) of wind generation capacity were added worldwide in 2010, as compared to 33,000 MW in 2009. China represented the largest source of growth, with a year-over-year increase in installed capacity base of 70%, for a total installed capacity of 44,733 MW as of December 31, 2010. We expect that the rate of global wind power installations in 2011 will be roughly equivalent with 2010.</w:t>
      </w:r>
    </w:p>
    <w:p>
      <w:pPr>
        <w:spacing w:after="0" w:line="7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Several factors are driving growth in the wind power market, including substantial government incentives and mandates that have been established globally, technological improvements, turbine cost reductions and increasing cost competitiveness with existing power generation technologies. According to GWEC, by early 2011, at least 119 countries had some form of national policy support for renewable energy, more than double the 55 countries that provided such support in 2005. Technological advances, declining turbine production cost and increasing prices for fossil fuels continue to increase the competitiveness of wind versus traditional power generation technologies.</w:t>
      </w:r>
    </w:p>
    <w:p>
      <w:pPr>
        <w:spacing w:after="0" w:line="5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vast majority of the wind power capacity installed worldwide to date is onshore. In the future, industry analysts anticipate rapid growth in the offshore wind market due to its advantages in terms of both wind patterns and real estate availability. Industry research firm IHS Emerging Energy Research expects the installed base of offshore wind power to increase from approximately 3,000 MW at the end of 2010 to nearly 50,000 MW by the end of 2020 as wind turbine power ratings and performance continue to improve and project costs decline.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Solutions for the Wind Market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address the challenges of the wind energy market by designing and engineering wind turbines, providing extensive support services to wind turbine manufacturers and manufacturing and selling critical components for wind turbines.</w:t>
      </w:r>
    </w:p>
    <w:p>
      <w:pPr>
        <w:spacing w:after="0" w:line="59" w:lineRule="exact"/>
        <w:rPr>
          <w:sz w:val="20"/>
          <w:szCs w:val="20"/>
          <w:color w:val="auto"/>
        </w:rPr>
      </w:pPr>
    </w:p>
    <w:p>
      <w:pPr>
        <w:ind w:left="1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Wind Turbine Designs. </w:t>
      </w:r>
      <w:r>
        <w:rPr>
          <w:rFonts w:ascii="Arial" w:cs="Arial" w:eastAsia="Arial" w:hAnsi="Arial"/>
          <w:sz w:val="13"/>
          <w:szCs w:val="13"/>
          <w:color w:val="auto"/>
        </w:rPr>
        <w:t>We design and develop entire state-of-the-art onshore and offshore wind turbines up to 10 megawatts for manufacturers who are in the business of</w:t>
      </w:r>
      <w:r>
        <w:rPr>
          <w:rFonts w:ascii="Arial" w:cs="Arial" w:eastAsia="Arial" w:hAnsi="Arial"/>
          <w:sz w:val="13"/>
          <w:szCs w:val="13"/>
          <w:i w:val="1"/>
          <w:iCs w:val="1"/>
          <w:color w:val="auto"/>
        </w:rPr>
        <w:t xml:space="preserve"> </w:t>
      </w:r>
      <w:r>
        <w:rPr>
          <w:rFonts w:ascii="Arial" w:cs="Arial" w:eastAsia="Arial" w:hAnsi="Arial"/>
          <w:sz w:val="13"/>
          <w:szCs w:val="13"/>
          <w:color w:val="auto"/>
        </w:rPr>
        <w:t>producing wind turbines or who plan to enter the business of manufacturing wind turbines. These customers typically pay us licensing fees for wind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turbine designs and purchase from us the core electrical components or complete electrical control systems needed to operate the wind turbines.</w:t>
      </w:r>
    </w:p>
    <w:p>
      <w:pPr>
        <w:spacing w:after="0" w:line="96" w:lineRule="exact"/>
        <w:rPr>
          <w:sz w:val="20"/>
          <w:szCs w:val="20"/>
          <w:color w:val="auto"/>
        </w:rPr>
      </w:pPr>
    </w:p>
    <w:p>
      <w:pPr>
        <w:jc w:val="both"/>
        <w:ind w:left="1280" w:hanging="190"/>
        <w:spacing w:after="0" w:line="296"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Customer Support Services. </w:t>
      </w:r>
      <w:r>
        <w:rPr>
          <w:rFonts w:ascii="Arial" w:cs="Arial" w:eastAsia="Arial" w:hAnsi="Arial"/>
          <w:sz w:val="12"/>
          <w:szCs w:val="12"/>
          <w:color w:val="auto"/>
        </w:rPr>
        <w:t>We provide extensive customer support services to wind turbine manufacturers. These services range from providing designs for customers’ wind</w:t>
      </w:r>
      <w:r>
        <w:rPr>
          <w:rFonts w:ascii="Arial" w:cs="Arial" w:eastAsia="Arial" w:hAnsi="Arial"/>
          <w:sz w:val="12"/>
          <w:szCs w:val="12"/>
          <w:i w:val="1"/>
          <w:iCs w:val="1"/>
          <w:color w:val="auto"/>
        </w:rPr>
        <w:t xml:space="preserve"> </w:t>
      </w:r>
      <w:r>
        <w:rPr>
          <w:rFonts w:ascii="Arial" w:cs="Arial" w:eastAsia="Arial" w:hAnsi="Arial"/>
          <w:sz w:val="12"/>
          <w:szCs w:val="12"/>
          <w:color w:val="auto"/>
        </w:rPr>
        <w:t>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39" w:lineRule="exact"/>
        <w:rPr>
          <w:rFonts w:ascii="Arial" w:cs="Arial" w:eastAsia="Arial" w:hAnsi="Arial"/>
          <w:sz w:val="12"/>
          <w:szCs w:val="12"/>
          <w:color w:val="auto"/>
        </w:rPr>
      </w:pPr>
    </w:p>
    <w:p>
      <w:pPr>
        <w:jc w:val="both"/>
        <w:ind w:left="1280" w:hanging="190"/>
        <w:spacing w:after="0" w:line="26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Electrical Control Systems. </w:t>
      </w:r>
      <w:r>
        <w:rPr>
          <w:rFonts w:ascii="Arial" w:cs="Arial" w:eastAsia="Arial" w:hAnsi="Arial"/>
          <w:sz w:val="13"/>
          <w:szCs w:val="13"/>
          <w:color w:val="auto"/>
        </w:rPr>
        <w:t>We provide full electrical control systems or a subset of those systems (“core electrical components”) to manufacturers of wind turbines. These power</w:t>
      </w:r>
      <w:r>
        <w:rPr>
          <w:rFonts w:ascii="Arial" w:cs="Arial" w:eastAsia="Arial" w:hAnsi="Arial"/>
          <w:sz w:val="13"/>
          <w:szCs w:val="13"/>
          <w:i w:val="1"/>
          <w:iCs w:val="1"/>
          <w:color w:val="auto"/>
        </w:rPr>
        <w:t xml:space="preserve"> </w:t>
      </w:r>
      <w:r>
        <w:rPr>
          <w:rFonts w:ascii="Arial" w:cs="Arial" w:eastAsia="Arial" w:hAnsi="Arial"/>
          <w:sz w:val="13"/>
          <w:szCs w:val="13"/>
          <w:color w:val="auto"/>
        </w:rPr>
        <w:t>electronics regulate voltage, control power flows and maximize wind turbine efficiency, among other functions. To date, we have shipped enough core electrical components and complete electrical control systems to power more than 10,000 MW of wind power. We believe our electrical control systems represent approximately 10% of a wind turbine’s bill of materials, representing an addressable market in excess of $3 billion annually in 2010.</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unique approach to the wind energy markets allows our customers to use our world-class turbine engineering capabilities while minimizing their research and development costs. These services and our advanced electrical control systems and core electrical components provide our customers the ability to produce standardized or next-generation wind turbines at scale for their local market or the global market quickly and cost-effectively. Our team of highly experienced engineers works with clients to customize a turbine design specifically tailored to local markets while providing ongoing access to field services support and future technological advances. We have designed wind turbines for, or have licensed wind turbines to, more than ten manufacturers in Europe and Asia.</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Grid Market Overview</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Until the early part of the previous decade, transmission grid investment in the United States experienced a prolonged decline caused by uncertainty regarding the ownership of and return on transmission grid investments. This period of underinvestment resulted in an increasing number of grid disturbances and blackouts. A study conducted by researchers at Lawrence Berkeley National Laboratory found that electric power outages and blackouts cost the United States approximately $80 billion annually. These events and statistics have prompted broad recognition worldwide of the need to modernize and enhance the security of power grids. An increasing number of nations, including China, South Korea and the United States, are promoting the adoption of new smart grid technologies and programs to enhance grid capacity, efficiency and reliability.</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Power grid operators worldwide face various challenges, including:</w:t>
      </w:r>
    </w:p>
    <w:p>
      <w:pPr>
        <w:spacing w:after="0" w:line="96" w:lineRule="exact"/>
        <w:rPr>
          <w:sz w:val="20"/>
          <w:szCs w:val="20"/>
          <w:color w:val="auto"/>
        </w:rPr>
      </w:pPr>
    </w:p>
    <w:p>
      <w:pPr>
        <w:ind w:left="128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Stability. </w:t>
      </w:r>
      <w:r>
        <w:rPr>
          <w:rFonts w:ascii="Arial" w:cs="Arial" w:eastAsia="Arial" w:hAnsi="Arial"/>
          <w:sz w:val="13"/>
          <w:szCs w:val="13"/>
          <w:color w:val="auto"/>
        </w:rPr>
        <w:t>Power grid operators are confronting power quality and stability issues arising from intermittent renewable energy sources and from the capacity limitations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transmission and overhead distribution lines and underground cables.</w:t>
      </w:r>
    </w:p>
    <w:p>
      <w:pPr>
        <w:spacing w:after="0" w:line="4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Reliability. </w:t>
      </w:r>
      <w:r>
        <w:rPr>
          <w:rFonts w:ascii="Arial" w:cs="Arial" w:eastAsia="Arial" w:hAnsi="Arial"/>
          <w:sz w:val="13"/>
          <w:szCs w:val="13"/>
          <w:color w:val="auto"/>
        </w:rPr>
        <w:t>Traditional transmission lines and cables often reach their reliable voltage limit well below their thermal threshold. Driving more power through a power grid when</w:t>
      </w:r>
      <w:r>
        <w:rPr>
          <w:rFonts w:ascii="Arial" w:cs="Arial" w:eastAsia="Arial" w:hAnsi="Arial"/>
          <w:sz w:val="13"/>
          <w:szCs w:val="13"/>
          <w:i w:val="1"/>
          <w:iCs w:val="1"/>
          <w:color w:val="auto"/>
        </w:rPr>
        <w:t xml:space="preserve"> </w:t>
      </w:r>
      <w:r>
        <w:rPr>
          <w:rFonts w:ascii="Arial" w:cs="Arial" w:eastAsia="Arial" w:hAnsi="Arial"/>
          <w:sz w:val="13"/>
          <w:szCs w:val="13"/>
          <w:color w:val="auto"/>
        </w:rPr>
        <w:t>some lines and cables are operating above their voltage stability limit at peak demand times causes either low voltage in the power grid (a brownout) or risk of a sudden, uncontrollable voltage collapse (a blackout).</w:t>
      </w:r>
    </w:p>
    <w:p>
      <w:pPr>
        <w:spacing w:after="0" w:line="57" w:lineRule="exact"/>
        <w:rPr>
          <w:rFonts w:ascii="Arial" w:cs="Arial" w:eastAsia="Arial" w:hAnsi="Arial"/>
          <w:sz w:val="13"/>
          <w:szCs w:val="13"/>
          <w:color w:val="auto"/>
        </w:rPr>
      </w:pPr>
    </w:p>
    <w:p>
      <w:pPr>
        <w:jc w:val="both"/>
        <w:ind w:left="1280" w:hanging="190"/>
        <w:spacing w:after="0" w:line="258"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Capacity. </w:t>
      </w:r>
      <w:r>
        <w:rPr>
          <w:rFonts w:ascii="Arial" w:cs="Arial" w:eastAsia="Arial" w:hAnsi="Arial"/>
          <w:sz w:val="13"/>
          <w:szCs w:val="13"/>
          <w:color w:val="auto"/>
        </w:rPr>
        <w:t>The traditional way to increase power grid capacity without losing voltage stability is to install more overhead power lines and underground cables. However,</w:t>
      </w:r>
      <w:r>
        <w:rPr>
          <w:rFonts w:ascii="Arial" w:cs="Arial" w:eastAsia="Arial" w:hAnsi="Arial"/>
          <w:sz w:val="13"/>
          <w:szCs w:val="13"/>
          <w:i w:val="1"/>
          <w:iCs w:val="1"/>
          <w:color w:val="auto"/>
        </w:rPr>
        <w:t xml:space="preserve"> </w:t>
      </w:r>
      <w:r>
        <w:rPr>
          <w:rFonts w:ascii="Arial" w:cs="Arial" w:eastAsia="Arial" w:hAnsi="Arial"/>
          <w:sz w:val="13"/>
          <w:szCs w:val="13"/>
          <w:color w:val="auto"/>
        </w:rPr>
        <w:t>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expanding or securing new corridors and excavating to lay new conduit, which are costly and disruptive.</w:t>
      </w:r>
    </w:p>
    <w:p>
      <w:pPr>
        <w:spacing w:after="0" w:line="61"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Efficiency. </w:t>
      </w:r>
      <w:r>
        <w:rPr>
          <w:rFonts w:ascii="Arial" w:cs="Arial" w:eastAsia="Arial" w:hAnsi="Arial"/>
          <w:sz w:val="13"/>
          <w:szCs w:val="13"/>
          <w:color w:val="auto"/>
        </w:rPr>
        <w:t>Most overhead lines and underground cables use traditional conductors such as copper and aluminum, which lose power due to electrical resistance. At transmission</w:t>
      </w:r>
      <w:r>
        <w:rPr>
          <w:rFonts w:ascii="Arial" w:cs="Arial" w:eastAsia="Arial" w:hAnsi="Arial"/>
          <w:sz w:val="13"/>
          <w:szCs w:val="13"/>
          <w:i w:val="1"/>
          <w:iCs w:val="1"/>
          <w:color w:val="auto"/>
        </w:rPr>
        <w:t xml:space="preserve"> </w:t>
      </w:r>
      <w:r>
        <w:rPr>
          <w:rFonts w:ascii="Arial" w:cs="Arial" w:eastAsia="Arial" w:hAnsi="Arial"/>
          <w:sz w:val="13"/>
          <w:szCs w:val="13"/>
          <w:color w:val="auto"/>
        </w:rPr>
        <w:t>voltage, electrical losses average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76" w:lineRule="auto"/>
        <w:rPr>
          <w:sz w:val="20"/>
          <w:szCs w:val="20"/>
          <w:color w:val="auto"/>
        </w:rPr>
      </w:pPr>
      <w:r>
        <w:rPr>
          <w:rFonts w:ascii="Arial" w:cs="Arial" w:eastAsia="Arial" w:hAnsi="Arial"/>
          <w:sz w:val="13"/>
          <w:szCs w:val="13"/>
          <w:color w:val="auto"/>
        </w:rPr>
        <w:t>about 7% in the United States and other developed nations, but can exceed 20% in some locations due to the distance of the line and the power grid’s architecture and characteristics, among other factors.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Solutions for the Grid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address these challenges in the Grid market by providing services and solutions designed to increase the power grid’s capacity, reliability, security and efficiency.</w:t>
      </w:r>
    </w:p>
    <w:p>
      <w:pPr>
        <w:spacing w:after="0" w:line="96" w:lineRule="exact"/>
        <w:rPr>
          <w:sz w:val="20"/>
          <w:szCs w:val="20"/>
          <w:color w:val="auto"/>
        </w:rPr>
      </w:pPr>
    </w:p>
    <w:p>
      <w:pPr>
        <w:jc w:val="both"/>
        <w:ind w:left="1280" w:hanging="190"/>
        <w:spacing w:after="0" w:line="264"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Transmission Planning Services. </w:t>
      </w:r>
      <w:r>
        <w:rPr>
          <w:rFonts w:ascii="Arial" w:cs="Arial" w:eastAsia="Arial" w:hAnsi="Arial"/>
          <w:sz w:val="13"/>
          <w:szCs w:val="13"/>
          <w:color w:val="auto"/>
        </w:rPr>
        <w:t>We provide transmission planning services that identify power grid constraints and determine how our solutions might improve network</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These services often lead to sales of grid interconnection solutions for wind farms and solar power plants, power quality systems and transmission and distribution cable systems.</w:t>
      </w:r>
    </w:p>
    <w:p>
      <w:pPr>
        <w:spacing w:after="0" w:line="54" w:lineRule="exact"/>
        <w:rPr>
          <w:rFonts w:ascii="Arial" w:cs="Arial" w:eastAsia="Arial" w:hAnsi="Arial"/>
          <w:sz w:val="13"/>
          <w:szCs w:val="13"/>
          <w:color w:val="auto"/>
        </w:rPr>
      </w:pPr>
    </w:p>
    <w:p>
      <w:pPr>
        <w:jc w:val="both"/>
        <w:ind w:left="1280" w:hanging="190"/>
        <w:spacing w:after="0" w:line="261"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D-VAR</w:t>
      </w:r>
      <w:r>
        <w:rPr>
          <w:rFonts w:ascii="Arial" w:cs="Arial" w:eastAsia="Arial" w:hAnsi="Arial"/>
          <w:sz w:val="11"/>
          <w:szCs w:val="11"/>
          <w:color w:val="auto"/>
        </w:rPr>
        <w:t>®</w:t>
      </w:r>
      <w:r>
        <w:rPr>
          <w:rFonts w:ascii="Arial" w:cs="Arial" w:eastAsia="Arial" w:hAnsi="Arial"/>
          <w:sz w:val="13"/>
          <w:szCs w:val="13"/>
          <w:i w:val="1"/>
          <w:iCs w:val="1"/>
          <w:color w:val="auto"/>
        </w:rPr>
        <w:t xml:space="preserve"> Systems. </w:t>
      </w:r>
      <w:r>
        <w:rPr>
          <w:rFonts w:ascii="Arial" w:cs="Arial" w:eastAsia="Arial" w:hAnsi="Arial"/>
          <w:sz w:val="13"/>
          <w:szCs w:val="13"/>
          <w:color w:val="auto"/>
        </w:rPr>
        <w:t>The power that flows through alternating current (“AC”) networks comprises both real power, measured in watts, and reactive power, measured in Volt Amp</w:t>
      </w:r>
      <w:r>
        <w:rPr>
          <w:rFonts w:ascii="Arial" w:cs="Arial" w:eastAsia="Arial" w:hAnsi="Arial"/>
          <w:sz w:val="13"/>
          <w:szCs w:val="13"/>
          <w:i w:val="1"/>
          <w:iCs w:val="1"/>
          <w:color w:val="auto"/>
        </w:rPr>
        <w:t xml:space="preserve"> </w:t>
      </w:r>
      <w:r>
        <w:rPr>
          <w:rFonts w:ascii="Arial" w:cs="Arial" w:eastAsia="Arial" w:hAnsi="Arial"/>
          <w:sz w:val="13"/>
          <w:szCs w:val="13"/>
          <w:color w:val="auto"/>
        </w:rPr>
        <w:t>Reactives (“VARs”). In simple terms, reactive power is required to support voltage in the power network. D-VAR</w:t>
      </w:r>
      <w:r>
        <w:rPr>
          <w:rFonts w:ascii="Arial" w:cs="Arial" w:eastAsia="Arial" w:hAnsi="Arial"/>
          <w:sz w:val="11"/>
          <w:szCs w:val="11"/>
          <w:color w:val="auto"/>
        </w:rPr>
        <w:t>®</w:t>
      </w:r>
      <w:r>
        <w:rPr>
          <w:rFonts w:ascii="Arial" w:cs="Arial" w:eastAsia="Arial" w:hAnsi="Arial"/>
          <w:sz w:val="13"/>
          <w:szCs w:val="13"/>
          <w:color w:val="auto"/>
        </w:rPr>
        <w:t xml:space="preserve"> systems can provide the reactive power needed to stabilize voltage on the grid. These systems also can be used to connect wind farms and solar power plants to the power grid seamlessly. Global Industry Analysts estimates that the global market for Flexible AC Transmission Systems (“FACTS”) such as D-VAR</w:t>
      </w:r>
      <w:r>
        <w:rPr>
          <w:rFonts w:ascii="Arial" w:cs="Arial" w:eastAsia="Arial" w:hAnsi="Arial"/>
          <w:sz w:val="11"/>
          <w:szCs w:val="11"/>
          <w:color w:val="auto"/>
        </w:rPr>
        <w:t>®</w:t>
      </w:r>
      <w:r>
        <w:rPr>
          <w:rFonts w:ascii="Arial" w:cs="Arial" w:eastAsia="Arial" w:hAnsi="Arial"/>
          <w:sz w:val="13"/>
          <w:szCs w:val="13"/>
          <w:color w:val="auto"/>
        </w:rPr>
        <w:t xml:space="preserve"> was $1.5 billion in 2009.</w:t>
      </w:r>
    </w:p>
    <w:p>
      <w:pPr>
        <w:spacing w:after="0" w:line="59" w:lineRule="exact"/>
        <w:rPr>
          <w:rFonts w:ascii="Arial" w:cs="Arial" w:eastAsia="Arial" w:hAnsi="Arial"/>
          <w:sz w:val="13"/>
          <w:szCs w:val="13"/>
          <w:color w:val="auto"/>
        </w:rPr>
      </w:pPr>
    </w:p>
    <w:p>
      <w:pPr>
        <w:jc w:val="both"/>
        <w:ind w:left="1280" w:hanging="190"/>
        <w:spacing w:after="0" w:line="257"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SolarTie Grid Interconnection Systems. </w:t>
      </w:r>
      <w:r>
        <w:rPr>
          <w:rFonts w:ascii="Arial" w:cs="Arial" w:eastAsia="Arial" w:hAnsi="Arial"/>
          <w:sz w:val="13"/>
          <w:szCs w:val="13"/>
          <w:color w:val="auto"/>
        </w:rPr>
        <w:t>To use power from photovoltaic panels, electric utilities or other operators must convert, or invert, the direct current (“DC”) power that is</w:t>
      </w:r>
      <w:r>
        <w:rPr>
          <w:rFonts w:ascii="Arial" w:cs="Arial" w:eastAsia="Arial" w:hAnsi="Arial"/>
          <w:sz w:val="13"/>
          <w:szCs w:val="13"/>
          <w:i w:val="1"/>
          <w:iCs w:val="1"/>
          <w:color w:val="auto"/>
        </w:rPr>
        <w:t xml:space="preserve"> </w:t>
      </w:r>
      <w:r>
        <w:rPr>
          <w:rFonts w:ascii="Arial" w:cs="Arial" w:eastAsia="Arial" w:hAnsi="Arial"/>
          <w:sz w:val="13"/>
          <w:szCs w:val="13"/>
          <w:color w:val="auto"/>
        </w:rPr>
        <w:t>produced by solar panels into AC power used by the grid. Megawatt-scale solar power plants also typically require reactive power to remain connected to the power grid. SolarTie Grid Interconnection Systems provide the inversion and reactive compensation necessary to connect megawatt-scale solar photovoltaic (“PV”) power plants to the power grid, increasing grid stability and reliability. According to IMS Research, large commercial and utility-scale PV system installations are projected to increase from approximately 7.5 GW in 2010 to more than 22 GW in 2015. As a result, we believe annual spending on inverters for large commercial and utility-scale PV will roughly double from approximately $1.6 billion in 2010 to approximately $3.0 billion in 2015.</w:t>
      </w:r>
    </w:p>
    <w:p>
      <w:pPr>
        <w:spacing w:after="0" w:line="61"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Superconductor Wire. </w:t>
      </w:r>
      <w:r>
        <w:rPr>
          <w:rFonts w:ascii="Arial" w:cs="Arial" w:eastAsia="Arial" w:hAnsi="Arial"/>
          <w:sz w:val="13"/>
          <w:szCs w:val="13"/>
          <w:color w:val="auto"/>
        </w:rPr>
        <w:t>Conventional conductors of electricity, such as aluminum and copper wire, lose energy due to resistance. Using a compound of yttrium barium copper</w:t>
      </w:r>
      <w:r>
        <w:rPr>
          <w:rFonts w:ascii="Arial" w:cs="Arial" w:eastAsia="Arial" w:hAnsi="Arial"/>
          <w:sz w:val="13"/>
          <w:szCs w:val="13"/>
          <w:i w:val="1"/>
          <w:iCs w:val="1"/>
          <w:color w:val="auto"/>
        </w:rPr>
        <w:t xml:space="preserve"> </w:t>
      </w:r>
      <w:r>
        <w:rPr>
          <w:rFonts w:ascii="Arial" w:cs="Arial" w:eastAsia="Arial" w:hAnsi="Arial"/>
          <w:sz w:val="13"/>
          <w:szCs w:val="13"/>
          <w:color w:val="auto"/>
        </w:rPr>
        <w:t>oxide (“YBCO”), we manufacture and provide superconductor wire that can conduct many times more electricity than conventional conductors with no power loss. This wire can be incorporated into a variety of applications, including motors, generators, fault current limiters and, most importantly, power cables.</w:t>
      </w:r>
    </w:p>
    <w:p>
      <w:pPr>
        <w:spacing w:after="0" w:line="57" w:lineRule="exact"/>
        <w:rPr>
          <w:rFonts w:ascii="Arial" w:cs="Arial" w:eastAsia="Arial" w:hAnsi="Arial"/>
          <w:sz w:val="13"/>
          <w:szCs w:val="13"/>
          <w:color w:val="auto"/>
        </w:rPr>
      </w:pPr>
    </w:p>
    <w:p>
      <w:pPr>
        <w:jc w:val="both"/>
        <w:ind w:left="1280" w:hanging="190"/>
        <w:spacing w:after="0" w:line="260"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Power Cables. </w:t>
      </w:r>
      <w:r>
        <w:rPr>
          <w:rFonts w:ascii="Arial" w:cs="Arial" w:eastAsia="Arial" w:hAnsi="Arial"/>
          <w:sz w:val="13"/>
          <w:szCs w:val="13"/>
          <w:color w:val="auto"/>
        </w:rPr>
        <w:t>Underground cables, rather than overhead power lines, transmit an increasing amount of the world’s power, particularly in urban and metropolitan areas. As power</w:t>
      </w:r>
      <w:r>
        <w:rPr>
          <w:rFonts w:ascii="Arial" w:cs="Arial" w:eastAsia="Arial" w:hAnsi="Arial"/>
          <w:sz w:val="13"/>
          <w:szCs w:val="13"/>
          <w:i w:val="1"/>
          <w:iCs w:val="1"/>
          <w:color w:val="auto"/>
        </w:rPr>
        <w:t xml:space="preserve"> </w:t>
      </w:r>
      <w:r>
        <w:rPr>
          <w:rFonts w:ascii="Arial" w:cs="Arial" w:eastAsia="Arial" w:hAnsi="Arial"/>
          <w:sz w:val="13"/>
          <w:szCs w:val="13"/>
          <w:color w:val="auto"/>
        </w:rPr>
        <w:t>demands grow, grid capacity and reliability issues can arise. With their ability to carry up to ten times more power than conventional power cables, superconductor cables can effectively break this bottleneck. We offer cable systems that are manufactured by third parties and also offer turnkey project management services to electric utilities. We believe the market for medium, high and extra-high voltage power cables exceeds $5 billion annually.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Core Technologies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Superconductors</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Our second generation (“2G”) superconductor wire technology helps us address the smart grid infrastructure market opportunity by providing components and solutions designed to increase the power grid’s capacity, reliability, security and efficiency. Our 2G high-temperature superconductor (“HTS”) wire, known as Amperium</w:t>
      </w:r>
      <w:r>
        <w:rPr>
          <w:rFonts w:ascii="Arial" w:cs="Arial" w:eastAsia="Arial" w:hAnsi="Arial"/>
          <w:sz w:val="7"/>
          <w:szCs w:val="7"/>
          <w:color w:val="auto"/>
        </w:rPr>
        <w:t>TM</w:t>
      </w:r>
      <w:r>
        <w:rPr>
          <w:rFonts w:ascii="Arial" w:cs="Arial" w:eastAsia="Arial" w:hAnsi="Arial"/>
          <w:sz w:val="12"/>
          <w:szCs w:val="12"/>
          <w:color w:val="auto"/>
        </w:rPr>
        <w:t>, conducts electricity with zero resistance below about -297 degrees Fahrenheit. The technology can be used in many applications including electricity transmission cables, superconducting generators, voltage regulators and degaussing systems for naval vessels. Superconductor power cables, which are a class of high-capacity, environmentally-benign and easy-to-install transmission and distribution cables, address power grid capacity issues by increasing the thermal limit of existing or new corridors. Superconductor power cables are cylindrically shaped systems consisting of HTS wires (which conduct electricity) surrounded by electrical insulation encased in a metal or polymeric jacket.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Currently, power cables are made primarily using copper wires. Power cables incorporating our Amperium</w:t>
      </w:r>
      <w:r>
        <w:rPr>
          <w:rFonts w:ascii="Arial" w:cs="Arial" w:eastAsia="Arial" w:hAnsi="Arial"/>
          <w:sz w:val="7"/>
          <w:szCs w:val="7"/>
          <w:color w:val="auto"/>
        </w:rPr>
        <w:t>TM</w:t>
      </w:r>
      <w:r>
        <w:rPr>
          <w:rFonts w:ascii="Arial" w:cs="Arial" w:eastAsia="Arial" w:hAnsi="Arial"/>
          <w:sz w:val="13"/>
          <w:szCs w:val="13"/>
          <w:color w:val="auto"/>
        </w:rPr>
        <w:t xml:space="preserve"> wire are able to carry up to ten times the electrical current of copper cables of the same diameter. These new cable systems also bring efficiency advantages. Traditional cable systems heat up due to the electrical resistance of copper, causing electrical losses. Electrical losses at transmission voltage average about 7% in the United States and other developed nations, but can exceed 20% in some locations due to the distance of the line and the power grid’s architecture and characteristics, among other factors. Conversely, HTS materials can carry direct current (“DC”) with 100% efficiency and alternating current (“AC”) with nearly 100% efficiency when they are cooled below a critical temperature. As a result, AC HTS power cables lose significantly less power to resistive heating than copper cables, and DC HTS power cables have no energy losses due to resistive heating.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PowerModule Power Converters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Our family of PowerModule</w:t>
      </w:r>
      <w:r>
        <w:rPr>
          <w:rFonts w:ascii="Arial" w:cs="Arial" w:eastAsia="Arial" w:hAnsi="Arial"/>
          <w:sz w:val="7"/>
          <w:szCs w:val="7"/>
          <w:color w:val="auto"/>
        </w:rPr>
        <w:t>TM</w:t>
      </w:r>
      <w:r>
        <w:rPr>
          <w:rFonts w:ascii="Arial" w:cs="Arial" w:eastAsia="Arial" w:hAnsi="Arial"/>
          <w:sz w:val="13"/>
          <w:szCs w:val="13"/>
          <w:color w:val="auto"/>
        </w:rPr>
        <w:t xml:space="preserve"> power electronic converters incorporates power semiconductor devices that switch, control and move large amounts of power faster and with far less disruption than the electromechanical switches historically used. While our family of PowerModule</w:t>
      </w:r>
      <w:r>
        <w:rPr>
          <w:rFonts w:ascii="Arial" w:cs="Arial" w:eastAsia="Arial" w:hAnsi="Arial"/>
          <w:sz w:val="7"/>
          <w:szCs w:val="7"/>
          <w:color w:val="auto"/>
        </w:rPr>
        <w:t>TM</w:t>
      </w:r>
      <w:r>
        <w:rPr>
          <w:rFonts w:ascii="Arial" w:cs="Arial" w:eastAsia="Arial" w:hAnsi="Arial"/>
          <w:sz w:val="13"/>
          <w:szCs w:val="13"/>
          <w:color w:val="auto"/>
        </w:rPr>
        <w:t xml:space="preserve"> systems today are used primarily in wind and power grid applications, they also have been incorporated into electric motor drives, distributed and dispersed generation devices (micro-turbines, fuel cells and PVs), power quality solutions, batteries and flywheel-based uninterruptible power supplies.</w:t>
      </w:r>
    </w:p>
    <w:p>
      <w:pPr>
        <w:spacing w:after="0" w:line="68"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3"/>
          <w:szCs w:val="13"/>
          <w:color w:val="auto"/>
        </w:rPr>
        <w:t>Our wind turbine electrical control systems and core electrical components, as well as our D-VAR</w:t>
      </w:r>
      <w:r>
        <w:rPr>
          <w:rFonts w:ascii="Arial" w:cs="Arial" w:eastAsia="Arial" w:hAnsi="Arial"/>
          <w:sz w:val="11"/>
          <w:szCs w:val="11"/>
          <w:color w:val="auto"/>
        </w:rPr>
        <w:t>®</w:t>
      </w:r>
      <w:r>
        <w:rPr>
          <w:rFonts w:ascii="Arial" w:cs="Arial" w:eastAsia="Arial" w:hAnsi="Arial"/>
          <w:sz w:val="13"/>
          <w:szCs w:val="13"/>
          <w:color w:val="auto"/>
        </w:rPr>
        <w:t xml:space="preserve"> and SolarTie systems for power grid application incorporate our PowerModule</w:t>
      </w:r>
      <w:r>
        <w:rPr>
          <w:rFonts w:ascii="Arial" w:cs="Arial" w:eastAsia="Arial" w:hAnsi="Arial"/>
          <w:sz w:val="7"/>
          <w:szCs w:val="7"/>
          <w:color w:val="auto"/>
        </w:rPr>
        <w:t>TM</w:t>
      </w:r>
      <w:r>
        <w:rPr>
          <w:rFonts w:ascii="Arial" w:cs="Arial" w:eastAsia="Arial" w:hAnsi="Arial"/>
          <w:sz w:val="13"/>
          <w:szCs w:val="13"/>
          <w:color w:val="auto"/>
        </w:rPr>
        <w:t xml:space="preserve"> technology.</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Customers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Since our inception, we have served more than ten Wind customers, including CSR-ZELRI, Dongfang Turbine Company, Doosan Heavy Industries, Hyundai Heavy Industries, Inox Wind, Shenyang Blower Works, XJ Group and JCNE. During this period we have also served over 100 Grid customers, including Alliant Energy, Areva, Basin Electric, Keys Energy, Long Island Power Authority and TransCanada.</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Facilities and Manufacturing</w:t>
      </w:r>
    </w:p>
    <w:p>
      <w:pPr>
        <w:spacing w:after="0" w:line="100"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Our AMSC Power Systems business currently operates out of manufacturing facilities in New Berlin and Middleton, Wisconsin; and Suzhou, China, as well as an engineering center in Klagenfurt, Austria. In New Berlin, Wisconsin, we design, develop, assemble and test our PowerModule</w:t>
      </w:r>
      <w:r>
        <w:rPr>
          <w:rFonts w:ascii="Arial" w:cs="Arial" w:eastAsia="Arial" w:hAnsi="Arial"/>
          <w:sz w:val="7"/>
          <w:szCs w:val="7"/>
          <w:color w:val="auto"/>
        </w:rPr>
        <w:t>TM</w:t>
      </w:r>
      <w:r>
        <w:rPr>
          <w:rFonts w:ascii="Arial" w:cs="Arial" w:eastAsia="Arial" w:hAnsi="Arial"/>
          <w:sz w:val="12"/>
          <w:szCs w:val="12"/>
          <w:color w:val="auto"/>
        </w:rPr>
        <w:t xml:space="preserve"> power electronic converters, D-VAR</w:t>
      </w:r>
      <w:r>
        <w:rPr>
          <w:rFonts w:ascii="Arial" w:cs="Arial" w:eastAsia="Arial" w:hAnsi="Arial"/>
          <w:sz w:val="10"/>
          <w:szCs w:val="10"/>
          <w:color w:val="auto"/>
        </w:rPr>
        <w:t>®</w:t>
      </w:r>
      <w:r>
        <w:rPr>
          <w:rFonts w:ascii="Arial" w:cs="Arial" w:eastAsia="Arial" w:hAnsi="Arial"/>
          <w:sz w:val="12"/>
          <w:szCs w:val="12"/>
          <w:color w:val="auto"/>
        </w:rPr>
        <w:t xml:space="preserve"> RT and SolarTie Grid Interconnection systems. We also manufacture and test our PowerModule</w:t>
      </w:r>
      <w:r>
        <w:rPr>
          <w:rFonts w:ascii="Arial" w:cs="Arial" w:eastAsia="Arial" w:hAnsi="Arial"/>
          <w:sz w:val="7"/>
          <w:szCs w:val="7"/>
          <w:color w:val="auto"/>
        </w:rPr>
        <w:t>TM</w:t>
      </w:r>
      <w:r>
        <w:rPr>
          <w:rFonts w:ascii="Arial" w:cs="Arial" w:eastAsia="Arial" w:hAnsi="Arial"/>
          <w:sz w:val="12"/>
          <w:szCs w:val="12"/>
          <w:color w:val="auto"/>
        </w:rPr>
        <w:t xml:space="preserve"> family of products at our Suzhou, China manufacturing facility. We outsource the manufacture of components of our PowerModule</w:t>
      </w:r>
      <w:r>
        <w:rPr>
          <w:rFonts w:ascii="Arial" w:cs="Arial" w:eastAsia="Arial" w:hAnsi="Arial"/>
          <w:sz w:val="7"/>
          <w:szCs w:val="7"/>
          <w:color w:val="auto"/>
        </w:rPr>
        <w:t>TM</w:t>
      </w:r>
      <w:r>
        <w:rPr>
          <w:rFonts w:ascii="Arial" w:cs="Arial" w:eastAsia="Arial" w:hAnsi="Arial"/>
          <w:sz w:val="12"/>
          <w:szCs w:val="12"/>
          <w:color w:val="auto"/>
        </w:rPr>
        <w:t xml:space="preserve"> power converters, allowing us to focus on our core competency of design and final assembly and testing of PowerModule</w:t>
      </w:r>
      <w:r>
        <w:rPr>
          <w:rFonts w:ascii="Arial" w:cs="Arial" w:eastAsia="Arial" w:hAnsi="Arial"/>
          <w:sz w:val="7"/>
          <w:szCs w:val="7"/>
          <w:color w:val="auto"/>
        </w:rPr>
        <w:t>TM</w:t>
      </w:r>
      <w:r>
        <w:rPr>
          <w:rFonts w:ascii="Arial" w:cs="Arial" w:eastAsia="Arial" w:hAnsi="Arial"/>
          <w:sz w:val="12"/>
          <w:szCs w:val="12"/>
          <w:color w:val="auto"/>
        </w:rPr>
        <w:t xml:space="preserve"> systems. This also provides us with the flexibility to use best-of-breed subcomponents in the assembly of our converters. We assemble and test components and PowerModule</w:t>
      </w:r>
      <w:r>
        <w:rPr>
          <w:rFonts w:ascii="Arial" w:cs="Arial" w:eastAsia="Arial" w:hAnsi="Arial"/>
          <w:sz w:val="7"/>
          <w:szCs w:val="7"/>
          <w:color w:val="auto"/>
        </w:rPr>
        <w:t>TM</w:t>
      </w:r>
      <w:r>
        <w:rPr>
          <w:rFonts w:ascii="Arial" w:cs="Arial" w:eastAsia="Arial" w:hAnsi="Arial"/>
          <w:sz w:val="12"/>
          <w:szCs w:val="12"/>
          <w:color w:val="auto"/>
        </w:rPr>
        <w:t xml:space="preserve"> power converters for use in our grid reliability, power quality and interconnection, products such as D-VAR</w:t>
      </w:r>
      <w:r>
        <w:rPr>
          <w:rFonts w:ascii="Arial" w:cs="Arial" w:eastAsia="Arial" w:hAnsi="Arial"/>
          <w:sz w:val="10"/>
          <w:szCs w:val="10"/>
          <w:color w:val="auto"/>
        </w:rPr>
        <w:t>®</w:t>
      </w:r>
      <w:r>
        <w:rPr>
          <w:rFonts w:ascii="Arial" w:cs="Arial" w:eastAsia="Arial" w:hAnsi="Arial"/>
          <w:sz w:val="12"/>
          <w:szCs w:val="12"/>
          <w:color w:val="auto"/>
        </w:rPr>
        <w:t xml:space="preserve"> and systems in our Middleton, Wisconsin facility. Personnel supporting our Windtec brand operate out of Klagenfurt, Austria, which houses our wind turbine core engineering, design and sales teams. Our AMSC Superconductors business unit currently operates out of a facility in Devens, Massachusetts.</w:t>
      </w:r>
    </w:p>
    <w:p>
      <w:pPr>
        <w:spacing w:after="0" w:line="5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of April 1, 2011, the New Berlin, Middleton and Devens facilities primarily support our Grid business and the Suzhou and Klagenfurt facilities primarily support our Wind business.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Sales and Marketing</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strategy is to serve customers locally in our core target markets through a direct sales force operating out of sales offices worldwide.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Sinovel represented approximately 68%, 70% and 67% of our total revenue for fiscal years 2010, 2009 and 2008, respectively. Sinovel was the only customer representing more than 10% of our total revenue for those fiscal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years. See Item 7, “Management’s Discussion and Analysis of Financial Condition and Results of Operations,” for further discussion of the Sinovel customer relationship.</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The portion of total revenue recognized from customers located outside the United States was 93%, 87% and 84% for fiscal years 2010, 2009 and 2008, respectively. Of the revenue recognized from customers outside the United States, we recognized 82%, 88% and 86% from customers in China in fiscal years 2010, 2009 and 2008, respectively. For additional financial information, see the notes to consolidated financial statements included herein, including Note 16, “Business Segment and Geographic Information,” regarding our business segments.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Backlog</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Excluding Sinovel, we had backlog at March 31, 2011 of approximately $228.4 million from government and commercial customers, compared to $206.7 million at March 31, 2010. Backlog represents the value of contracts and purchase orders received less the revenue recognized to date on those contracts and purchase orders. Of our $228.4 million in backlog as of March 31, 2011, approximately 25% was scheduled for shipment to our customers during fiscal 2011 based on contractually agreed-upon terms.</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Including Sinovel, we had backlog at March 31, 2011 of approximately $921.5 million, compared to $588.3 million at March 31, 2010. On March 31, 2011, Sinovel refused to accept contracted shipments of 1.5-MW and 3-MW wind turbine core electrical components and spare parts that we were prepared to deliver. As a result, we have not made shipments to Sinovel since February 2011. If Sinovel continues not to accept these shipments, or terminates, reduces or defers firm orders, we will not be able to complete these shipments and we may not generate the revenue supported by contracts.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Competition</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in various aspects of our technology and product development. We believe that competitive performance in the marketplace depends upon several factors, including technical innovation, range of products, range of services, product quality and reliability, customer service and technical support.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for the supply of wind turbine engineering design services from design engineering firms such as Garrad Hassan, and from licensors of wind turbine systems such as Aerodyn, AventisEnergy and Fuhrlander.</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from companies offering power electronic converters for use in applications for which we expect to sell our PowerModule</w:t>
      </w:r>
      <w:r>
        <w:rPr>
          <w:rFonts w:ascii="Arial" w:cs="Arial" w:eastAsia="Arial" w:hAnsi="Arial"/>
          <w:sz w:val="7"/>
          <w:szCs w:val="7"/>
          <w:color w:val="auto"/>
        </w:rPr>
        <w:t>TM</w:t>
      </w:r>
      <w:r>
        <w:rPr>
          <w:rFonts w:ascii="Arial" w:cs="Arial" w:eastAsia="Arial" w:hAnsi="Arial"/>
          <w:sz w:val="13"/>
          <w:szCs w:val="13"/>
          <w:color w:val="auto"/>
        </w:rPr>
        <w:t xml:space="preserve"> products. These companies include ABB, Inverpower, SatCon, Semikron and Xantrex (a subsidiary of Schneider Electric).</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We face competition from companies offering wind turbine electrical system components, which include ABB, Converteam, Guotong Electric, Ingeteam, Mita-Teknik, Woodward and Xantrex. We also face indirect competition in the wind energy market from manufacturers of wind energy systems, such as Gamesa, General Electric, Suzlon and Vestas.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Grid</w:t>
      </w:r>
    </w:p>
    <w:p>
      <w:pPr>
        <w:spacing w:after="0" w:line="94"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color w:val="auto"/>
        </w:rPr>
        <w:t>We face competition from other companies offering FACTS systems similar to our D-VAR</w:t>
      </w:r>
      <w:r>
        <w:rPr>
          <w:rFonts w:ascii="Arial" w:cs="Arial" w:eastAsia="Arial" w:hAnsi="Arial"/>
          <w:sz w:val="11"/>
          <w:szCs w:val="11"/>
          <w:color w:val="auto"/>
        </w:rPr>
        <w:t>®</w:t>
      </w:r>
      <w:r>
        <w:rPr>
          <w:rFonts w:ascii="Arial" w:cs="Arial" w:eastAsia="Arial" w:hAnsi="Arial"/>
          <w:sz w:val="13"/>
          <w:szCs w:val="13"/>
          <w:color w:val="auto"/>
        </w:rPr>
        <w:t xml:space="preserve"> and SVC solutions. These include SVCs from ABB, Alstrom, AREVA, Mitsubishi Electric and Siemens; adaptive VAR compensators and STATCOMs produced by S&amp;C Electric; DVRs produced by companies such as ABB and S&amp;C Electric; and flywheels and battery-based UPS systems offered by various companies around the world.</w:t>
      </w:r>
    </w:p>
    <w:p>
      <w:pPr>
        <w:spacing w:after="0" w:line="65"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We face competition both from vendors of traditional wires made from materials such as copper and from companies who are developing HTS wires. We also face competition for our Amperium</w:t>
      </w:r>
      <w:r>
        <w:rPr>
          <w:rFonts w:ascii="Arial" w:cs="Arial" w:eastAsia="Arial" w:hAnsi="Arial"/>
          <w:sz w:val="6"/>
          <w:szCs w:val="6"/>
          <w:color w:val="auto"/>
        </w:rPr>
        <w:t>TM</w:t>
      </w:r>
      <w:r>
        <w:rPr>
          <w:rFonts w:ascii="Arial" w:cs="Arial" w:eastAsia="Arial" w:hAnsi="Arial"/>
          <w:sz w:val="11"/>
          <w:szCs w:val="11"/>
          <w:color w:val="auto"/>
        </w:rPr>
        <w:t xml:space="preserve"> wire from a number of companies in the United States and abroad who are developing 2G HTS wire technology. These include Innova, MetOx, Superconductor Technologies and Superpower (a subsidiary of Royal Philips Electronics) in the United States; Fujikura, Furukawa, Showa and Sumitomo in Japan; SuNAM in South Korea; and Bruker, evico</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GmbH and Nexans in Europe. Certain companies, including evico GmbH, Furukawa, Nexans, Showa and Sumitomo Electric, have been focusing their research programs more recently on the development of 2G HTS wire made by the same or similar processes we have chosen to use to manufacture our Amperium</w:t>
      </w:r>
      <w:r>
        <w:rPr>
          <w:rFonts w:ascii="Arial" w:cs="Arial" w:eastAsia="Arial" w:hAnsi="Arial"/>
          <w:sz w:val="7"/>
          <w:szCs w:val="7"/>
          <w:color w:val="auto"/>
        </w:rPr>
        <w:t>TM</w:t>
      </w:r>
      <w:r>
        <w:rPr>
          <w:rFonts w:ascii="Arial" w:cs="Arial" w:eastAsia="Arial" w:hAnsi="Arial"/>
          <w:sz w:val="13"/>
          <w:szCs w:val="13"/>
          <w:color w:val="auto"/>
        </w:rPr>
        <w:t xml:space="preserve"> wire.</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Patents, Licenses and Trade Secrets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 Background</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and we believe that we have significantly strengthened our position in the past several years. As of March 31, 2011, we owned (either solely or jointly) 120 U.S. patents and more than 45 U.S. patent applications on file. We also hold licenses from third parties covering more than 115 issued U.S. patents and patent applications. Together with the international counterparts of each of these patents and patent applications, we own more than 610 patents and patent applications worldwide, and have rights through exclusive and non-exclusive licenses to more than 320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58"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applications as necessary. 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historical experience, we expect that we will be able to obtain other necessary licenses on commercially reasonable terms. However, we cannot assure you that we will be able to obtain all necessary licenses from competitors on commercially reasonable terms, or at all.</w:t>
      </w:r>
    </w:p>
    <w:p>
      <w:pPr>
        <w:spacing w:after="0" w:line="74"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patents that we own or license expiring during fiscal 2011 that we consider material to our business or competitiveness.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 and Grid Patents</w:t>
      </w:r>
    </w:p>
    <w:p>
      <w:pPr>
        <w:spacing w:after="0" w:line="94" w:lineRule="exact"/>
        <w:rPr>
          <w:sz w:val="20"/>
          <w:szCs w:val="20"/>
          <w:color w:val="auto"/>
        </w:rPr>
      </w:pPr>
    </w:p>
    <w:p>
      <w:pPr>
        <w:jc w:val="both"/>
        <w:ind w:left="680" w:firstLine="399"/>
        <w:spacing w:after="0" w:line="261" w:lineRule="auto"/>
        <w:rPr>
          <w:sz w:val="20"/>
          <w:szCs w:val="20"/>
          <w:color w:val="auto"/>
        </w:rPr>
      </w:pPr>
      <w:r>
        <w:rPr>
          <w:rFonts w:ascii="Arial" w:cs="Arial" w:eastAsia="Arial" w:hAnsi="Arial"/>
          <w:sz w:val="13"/>
          <w:szCs w:val="13"/>
          <w:color w:val="auto"/>
        </w:rPr>
        <w:t>We have received patents and filed a significant number of additional patent applications on power quality and reliability systems, including our D-VAR</w:t>
      </w:r>
      <w:r>
        <w:rPr>
          <w:rFonts w:ascii="Arial" w:cs="Arial" w:eastAsia="Arial" w:hAnsi="Arial"/>
          <w:sz w:val="11"/>
          <w:szCs w:val="11"/>
          <w:color w:val="auto"/>
        </w:rPr>
        <w:t>®</w:t>
      </w:r>
      <w:r>
        <w:rPr>
          <w:rFonts w:ascii="Arial" w:cs="Arial" w:eastAsia="Arial" w:hAnsi="Arial"/>
          <w:sz w:val="13"/>
          <w:szCs w:val="13"/>
          <w:color w:val="auto"/>
        </w:rPr>
        <w:t xml:space="preserve"> system. Our products are covered by more than 95 patents and patents pending worldwide on both our systems and power converter products. The patents and applications focus on inventions that significantly improve product performance and reduce product costs, thereby providing a competitive advantage. One invention of note allows for a reduction in the number of power inverters required in the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system by optimally running the inverters in overload mode, thereby significantly reducing overall system costs. Another important invention uses inverters to offset transients due to capacitor bank switching, which provides improved system performance.</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Under our Windtec brand, we design a variety of wind turbine systems and license these designs, including expertise and patent rights, to third parties for an upfront fee. Windtec wind turbine designs are covered by more than 100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w:t>
      </w:r>
      <w:r>
        <w:rPr>
          <w:rFonts w:ascii="Arial" w:cs="Arial" w:eastAsia="Arial" w:hAnsi="Arial"/>
          <w:sz w:val="7"/>
          <w:szCs w:val="7"/>
          <w:color w:val="auto"/>
        </w:rPr>
        <w:t>TM</w:t>
      </w:r>
      <w:r>
        <w:rPr>
          <w:rFonts w:ascii="Arial" w:cs="Arial" w:eastAsia="Arial" w:hAnsi="Arial"/>
          <w:sz w:val="13"/>
          <w:szCs w:val="13"/>
          <w:color w:val="auto"/>
        </w:rPr>
        <w:t xml:space="preserve"> feature that causes the blades to rotate to a feathered position to prevent the rotor blades from spinning during a fault.</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recognize the importance of IP protection in China and believe that China is steadily moving toward recognizing and acting in accordance with international norms for IP. As such, we have incorporated China in our patent strategy for all of our various products. Nevertheless, we recognize that the risk of IP piracy is still higher in China than in most other industrialized countries, and so we are careful to limit the technology we provide through our product sales and other expansion plans in China. While we take the steps necessary to ensure the safety of our IP, we cannot assure you that these measures will be fully successful. For example, see Part I, Item 3, “Legal Proceedings,” for more information regarding legal proceedings that we have initiated against Sinovel alleging the illegal use of our intellectual property.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HTS Patents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However, we may have to obtain additional licenses to HTS materials.</w:t>
      </w:r>
    </w:p>
    <w:p>
      <w:pPr>
        <w:spacing w:after="0" w:line="6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are focusing on the production of our Amperium</w:t>
      </w:r>
      <w:r>
        <w:rPr>
          <w:rFonts w:ascii="Arial" w:cs="Arial" w:eastAsia="Arial" w:hAnsi="Arial"/>
          <w:sz w:val="7"/>
          <w:szCs w:val="7"/>
          <w:color w:val="auto"/>
        </w:rPr>
        <w:t>TM</w:t>
      </w:r>
      <w:r>
        <w:rPr>
          <w:rFonts w:ascii="Arial" w:cs="Arial" w:eastAsia="Arial" w:hAnsi="Arial"/>
          <w:sz w:val="12"/>
          <w:szCs w:val="12"/>
          <w:color w:val="auto"/>
        </w:rPr>
        <w:t xml:space="preserve"> wire, and we intend to continue to obtain a proprietary position in 2G HTS wire through a combination of patents, licenses and proprietary expertise. In addition to our owned patents and patent applications in 2G HTS wire, we have obtained licenses from (i) MIT for the MOD process we use to deposit the YBCO layer, Alcatel-Lucent, on the YBCO material, and (ii) the University of Tennessee/Battelle to the RABiTS</w:t>
      </w:r>
      <w:r>
        <w:rPr>
          <w:rFonts w:ascii="Arial" w:cs="Arial" w:eastAsia="Arial" w:hAnsi="Arial"/>
          <w:sz w:val="10"/>
          <w:szCs w:val="10"/>
          <w:color w:val="auto"/>
        </w:rPr>
        <w:t>®</w:t>
      </w:r>
      <w:r>
        <w:rPr>
          <w:rFonts w:ascii="Arial" w:cs="Arial" w:eastAsia="Arial" w:hAnsi="Arial"/>
          <w:sz w:val="12"/>
          <w:szCs w:val="12"/>
          <w:color w:val="auto"/>
        </w:rPr>
        <w:t xml:space="preserve"> process we use for the substrate and buffer layers for this technology. If alternative processes become more promising in the future, we will also seek to develop a proprietary position in these alternative processes.</w:t>
      </w:r>
    </w:p>
    <w:p>
      <w:pPr>
        <w:spacing w:after="0" w:line="53"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have a significant number of patents and patents pending covering applications of HTS wire, such as HTS fault current limiters, FaultBlocker</w:t>
      </w:r>
      <w:r>
        <w:rPr>
          <w:rFonts w:ascii="Arial" w:cs="Arial" w:eastAsia="Arial" w:hAnsi="Arial"/>
          <w:sz w:val="7"/>
          <w:szCs w:val="7"/>
          <w:color w:val="auto"/>
        </w:rPr>
        <w:t>TM</w:t>
      </w:r>
      <w:r>
        <w:rPr>
          <w:rFonts w:ascii="Arial" w:cs="Arial" w:eastAsia="Arial" w:hAnsi="Arial"/>
          <w:sz w:val="13"/>
          <w:szCs w:val="13"/>
          <w:color w:val="auto"/>
        </w:rPr>
        <w:t xml:space="preserve"> technology (including both HTS power cables and fault current limiting capability) and HTS rotating machines. Since the superconductor rotating machine and FaultBlocker</w:t>
      </w:r>
      <w:r>
        <w:rPr>
          <w:rFonts w:ascii="Arial" w:cs="Arial" w:eastAsia="Arial" w:hAnsi="Arial"/>
          <w:sz w:val="7"/>
          <w:szCs w:val="7"/>
          <w:color w:val="auto"/>
        </w:rPr>
        <w:t>TM</w:t>
      </w:r>
      <w:r>
        <w:rPr>
          <w:rFonts w:ascii="Arial" w:cs="Arial" w:eastAsia="Arial" w:hAnsi="Arial"/>
          <w:sz w:val="13"/>
          <w:szCs w:val="13"/>
          <w:color w:val="auto"/>
        </w:rPr>
        <w:t xml:space="preserve"> applications are relatively new, we are building a particularly strong patent position in these areas. At present, we believe we have the broadest and most fundamental patent position in superconductor rotating machines technology. We have also filed a series of patents on our concept for our proprietary FaultBlocker</w:t>
      </w:r>
      <w:r>
        <w:rPr>
          <w:rFonts w:ascii="Arial" w:cs="Arial" w:eastAsia="Arial" w:hAnsi="Arial"/>
          <w:sz w:val="7"/>
          <w:szCs w:val="7"/>
          <w:color w:val="auto"/>
        </w:rPr>
        <w:t>TM</w:t>
      </w:r>
      <w:r>
        <w:rPr>
          <w:rFonts w:ascii="Arial" w:cs="Arial" w:eastAsia="Arial" w:hAnsi="Arial"/>
          <w:sz w:val="13"/>
          <w:szCs w:val="13"/>
          <w:color w:val="auto"/>
        </w:rPr>
        <w:t xml:space="preserve"> technology. However, there can be no assurance that that these patents will be sufficient to assure our freedom of action in these fields without further licensing from others.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Secrets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assure you that these measures will prevent the unauthorized disclosure or use of that information. For example, see Part I, Item 3, “Legal Proceedings,” for more information regarding legal proceedings that we have initiated against Sinovel alleging the illegal use of our intellectual property. In addition, we cannot assure you that others, including our competitors, will not independently develop the same or comparable technology that is one of our trade secrets.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March 31, 2011, we employed 848 persons, 32 of whom have a Ph.D. in materials science, physics or other fields. None of our employees is represented by a labor union.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Retaining our key employees is important for achieving our goals, and we are committed to developing a working environment that motivates and rewards our employees.</w:t>
      </w:r>
    </w:p>
    <w:p>
      <w:pPr>
        <w:spacing w:after="0" w:line="8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August 2011, we initiated a restructuring plan to reorganize global operations, streamline various functions of the business, and reduce our global workforce to match the demand for our products. From April 1, 2011 through the date of this filing, we have reduced our global workforce by approximately 30%, which is expected to result in annual savings of approximately $30 million. As of August 31, 2011, we employed 599 persons.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Available Information</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file reports, proxy statements and other documents with the Securities and Exchange Commission (the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internet address is www.amsc.com. We are not including the information contained in our website as part of, or incorporating it by reference into, this document. We make available free of charge through our web 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disclose on our website any amendments to our Code of Business Conduct and Ethics that are required to be disclosed pursuant to the SEC rules.</w:t>
      </w: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and biographical summaries set forth below contain information with respect to our executive officers as of the date of this filing: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78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140" w:type="dxa"/>
            <w:vAlign w:val="bottom"/>
          </w:tcPr>
          <w:p>
            <w:pPr>
              <w:jc w:val="right"/>
              <w:ind w:right="37"/>
              <w:spacing w:after="0"/>
              <w:rPr>
                <w:sz w:val="20"/>
                <w:szCs w:val="20"/>
                <w:color w:val="auto"/>
              </w:rPr>
            </w:pPr>
            <w:r>
              <w:rPr>
                <w:rFonts w:ascii="Arial" w:cs="Arial" w:eastAsia="Arial" w:hAnsi="Arial"/>
                <w:sz w:val="10"/>
                <w:szCs w:val="10"/>
                <w:b w:val="1"/>
                <w:bCs w:val="1"/>
                <w:color w:val="auto"/>
              </w:rPr>
              <w:t>Age</w:t>
            </w:r>
          </w:p>
        </w:tc>
        <w:tc>
          <w:tcPr>
            <w:tcW w:w="5060" w:type="dxa"/>
            <w:vAlign w:val="bottom"/>
          </w:tcPr>
          <w:p>
            <w:pPr>
              <w:ind w:left="25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27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060" w:type="dxa"/>
            <w:vAlign w:val="bottom"/>
          </w:tcPr>
          <w:p>
            <w:pPr>
              <w:spacing w:after="0"/>
              <w:rPr>
                <w:sz w:val="4"/>
                <w:szCs w:val="4"/>
                <w:color w:val="auto"/>
              </w:rPr>
            </w:pP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Daniel P. McGahn</w:t>
            </w:r>
          </w:p>
        </w:tc>
        <w:tc>
          <w:tcPr>
            <w:tcW w:w="21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40</w:t>
            </w:r>
          </w:p>
        </w:tc>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President, Chief Executive Officer</w:t>
            </w:r>
          </w:p>
        </w:tc>
      </w:tr>
      <w:tr>
        <w:trPr>
          <w:trHeight w:val="157"/>
        </w:trPr>
        <w:tc>
          <w:tcPr>
            <w:tcW w:w="2780" w:type="dxa"/>
            <w:vAlign w:val="bottom"/>
          </w:tcPr>
          <w:p>
            <w:pPr>
              <w:spacing w:after="0"/>
              <w:rPr>
                <w:sz w:val="20"/>
                <w:szCs w:val="20"/>
                <w:color w:val="auto"/>
              </w:rPr>
            </w:pPr>
            <w:r>
              <w:rPr>
                <w:rFonts w:ascii="Arial" w:cs="Arial" w:eastAsia="Arial" w:hAnsi="Arial"/>
                <w:sz w:val="13"/>
                <w:szCs w:val="13"/>
                <w:color w:val="auto"/>
              </w:rPr>
              <w:t>David A. Henry</w:t>
            </w:r>
          </w:p>
        </w:tc>
        <w:tc>
          <w:tcPr>
            <w:tcW w:w="2140" w:type="dxa"/>
            <w:vAlign w:val="bottom"/>
          </w:tcPr>
          <w:p>
            <w:pPr>
              <w:jc w:val="right"/>
              <w:ind w:right="137"/>
              <w:spacing w:after="0"/>
              <w:rPr>
                <w:sz w:val="20"/>
                <w:szCs w:val="20"/>
                <w:color w:val="auto"/>
              </w:rPr>
            </w:pPr>
            <w:r>
              <w:rPr>
                <w:rFonts w:ascii="Arial" w:cs="Arial" w:eastAsia="Arial" w:hAnsi="Arial"/>
                <w:sz w:val="13"/>
                <w:szCs w:val="13"/>
                <w:color w:val="auto"/>
              </w:rPr>
              <w:t>50</w:t>
            </w:r>
          </w:p>
        </w:tc>
        <w:tc>
          <w:tcPr>
            <w:tcW w:w="5060" w:type="dxa"/>
            <w:vAlign w:val="bottom"/>
          </w:tcPr>
          <w:p>
            <w:pPr>
              <w:ind w:left="100"/>
              <w:spacing w:after="0"/>
              <w:rPr>
                <w:sz w:val="20"/>
                <w:szCs w:val="20"/>
                <w:color w:val="auto"/>
              </w:rPr>
            </w:pPr>
            <w:r>
              <w:rPr>
                <w:rFonts w:ascii="Arial" w:cs="Arial" w:eastAsia="Arial" w:hAnsi="Arial"/>
                <w:sz w:val="13"/>
                <w:szCs w:val="13"/>
                <w:color w:val="auto"/>
              </w:rPr>
              <w:t>Senior Vice President, Chief Financial Officer and Treasurer</w:t>
            </w: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Timothy D. Poor</w:t>
            </w:r>
          </w:p>
        </w:tc>
        <w:tc>
          <w:tcPr>
            <w:tcW w:w="21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44</w:t>
            </w:r>
          </w:p>
        </w:tc>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Sales, Business Development and Wind Segment</w:t>
            </w:r>
          </w:p>
        </w:tc>
      </w:tr>
      <w:tr>
        <w:trPr>
          <w:trHeight w:val="165"/>
        </w:trPr>
        <w:tc>
          <w:tcPr>
            <w:tcW w:w="2780" w:type="dxa"/>
            <w:vAlign w:val="bottom"/>
          </w:tcPr>
          <w:p>
            <w:pPr>
              <w:spacing w:after="0"/>
              <w:rPr>
                <w:sz w:val="20"/>
                <w:szCs w:val="20"/>
                <w:color w:val="auto"/>
              </w:rPr>
            </w:pPr>
            <w:r>
              <w:rPr>
                <w:rFonts w:ascii="Arial" w:cs="Arial" w:eastAsia="Arial" w:hAnsi="Arial"/>
                <w:sz w:val="13"/>
                <w:szCs w:val="13"/>
                <w:color w:val="auto"/>
              </w:rPr>
              <w:t>Susan J. DiCecco</w:t>
            </w:r>
          </w:p>
        </w:tc>
        <w:tc>
          <w:tcPr>
            <w:tcW w:w="2140" w:type="dxa"/>
            <w:vAlign w:val="bottom"/>
          </w:tcPr>
          <w:p>
            <w:pPr>
              <w:jc w:val="right"/>
              <w:ind w:right="137"/>
              <w:spacing w:after="0"/>
              <w:rPr>
                <w:sz w:val="20"/>
                <w:szCs w:val="20"/>
                <w:color w:val="auto"/>
              </w:rPr>
            </w:pPr>
            <w:r>
              <w:rPr>
                <w:rFonts w:ascii="Arial" w:cs="Arial" w:eastAsia="Arial" w:hAnsi="Arial"/>
                <w:sz w:val="13"/>
                <w:szCs w:val="13"/>
                <w:color w:val="auto"/>
              </w:rPr>
              <w:t>59</w:t>
            </w:r>
          </w:p>
        </w:tc>
        <w:tc>
          <w:tcPr>
            <w:tcW w:w="5060" w:type="dxa"/>
            <w:vAlign w:val="bottom"/>
          </w:tcPr>
          <w:p>
            <w:pPr>
              <w:ind w:left="100"/>
              <w:spacing w:after="0"/>
              <w:rPr>
                <w:sz w:val="20"/>
                <w:szCs w:val="20"/>
                <w:color w:val="auto"/>
              </w:rPr>
            </w:pPr>
            <w:r>
              <w:rPr>
                <w:rFonts w:ascii="Arial" w:cs="Arial" w:eastAsia="Arial" w:hAnsi="Arial"/>
                <w:sz w:val="13"/>
                <w:szCs w:val="13"/>
                <w:color w:val="auto"/>
              </w:rPr>
              <w:t>Senior Vice President, Corporate Administration</w:t>
            </w:r>
          </w:p>
        </w:tc>
      </w:tr>
    </w:tbl>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Daniel P. McGahn </w:t>
      </w:r>
      <w:r>
        <w:rPr>
          <w:rFonts w:ascii="Arial" w:cs="Arial" w:eastAsia="Arial" w:hAnsi="Arial"/>
          <w:sz w:val="13"/>
          <w:szCs w:val="13"/>
          <w:color w:val="auto"/>
        </w:rPr>
        <w:t>joined us in December 2006 and has been chief executive officer since June 2011. He previously served as president and chief operating officer from December</w:t>
      </w:r>
      <w:r>
        <w:rPr>
          <w:rFonts w:ascii="Arial" w:cs="Arial" w:eastAsia="Arial" w:hAnsi="Arial"/>
          <w:sz w:val="13"/>
          <w:szCs w:val="13"/>
          <w:i w:val="1"/>
          <w:iCs w:val="1"/>
          <w:color w:val="auto"/>
        </w:rPr>
        <w:t xml:space="preserve"> </w:t>
      </w:r>
      <w:r>
        <w:rPr>
          <w:rFonts w:ascii="Arial" w:cs="Arial" w:eastAsia="Arial" w:hAnsi="Arial"/>
          <w:sz w:val="13"/>
          <w:szCs w:val="13"/>
          <w:color w:val="auto"/>
        </w:rPr>
        <w:t>2009 to June 2011, as senior vice president and general manager of our AMSC Superconductors business unit from May 2008 until December 2009, as vice president from January 2008 to May 2008 and as vice president of strategic planning and development from December 2006 to January 2008. From 2003 to 2006, Mr. McGahn served as executive vice president and chief marketing officer of Konarka Technologies.</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David A. Henry </w:t>
      </w:r>
      <w:r>
        <w:rPr>
          <w:rFonts w:ascii="Arial" w:cs="Arial" w:eastAsia="Arial" w:hAnsi="Arial"/>
          <w:sz w:val="13"/>
          <w:szCs w:val="13"/>
          <w:color w:val="auto"/>
        </w:rPr>
        <w:t>joined us in July 2007 as senior vice president, chief financial officer and treasurer. He previously served as chief financial officer of AMIS Holdings, Inc., the parent</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in August 1999.</w:t>
      </w:r>
    </w:p>
    <w:p>
      <w:pPr>
        <w:spacing w:after="0" w:line="7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color w:val="auto"/>
        </w:rPr>
        <w:t xml:space="preserve">Timothy D. Poor </w:t>
      </w:r>
      <w:r>
        <w:rPr>
          <w:rFonts w:ascii="Arial" w:cs="Arial" w:eastAsia="Arial" w:hAnsi="Arial"/>
          <w:sz w:val="13"/>
          <w:szCs w:val="13"/>
          <w:color w:val="auto"/>
        </w:rPr>
        <w:t>joined us in September 2001 and served as senior vice president, global sales and business development, responsible for our global sales, business development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from March 2008 until May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2011, when he was appointed executive vice president, sales, business development and wind segment. From May 2007 to March 2008, Mr. Poor was the vice president and deputy general manager, AMSC Power Systems. From September 2001 to May of 2007, Mr. Poor held the position of director, AMSC Power Systems sales &amp; business development. He was promoted to managing director in March 2006. Prior to joining our company, Mr. Poor worked at General Electric (“GE”) in the GE Industrial Systems division for seven years in various sales, six sigma, and sales management positions. Prior to GE, Mr. Poor was an engineering consultant at Arthur Andersen &amp; Company.</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Susan J. DiCecco </w:t>
      </w:r>
      <w:r>
        <w:rPr>
          <w:rFonts w:ascii="Arial" w:cs="Arial" w:eastAsia="Arial" w:hAnsi="Arial"/>
          <w:sz w:val="13"/>
          <w:szCs w:val="13"/>
          <w:color w:val="auto"/>
        </w:rPr>
        <w:t>was appointed senior vice president, corporate administration in May 2011, having served as vice president, corporate administration since August 2009 and is</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responsible for worldwide human resources, information technologies and environmental health and safety. Mrs. DiCecco joined us in 2000 and was named vice president of human resources in 2006. Previously, Mrs. DiCecco held a number of human resources and operational positions at W.A.Wilde Company, Kidde Fenwal Company and General Motors among others.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0" w:lineRule="exact"/>
        <w:rPr>
          <w:sz w:val="20"/>
          <w:szCs w:val="20"/>
          <w:color w:val="auto"/>
        </w:rPr>
      </w:pPr>
    </w:p>
    <w:p>
      <w:pPr>
        <w:jc w:val="both"/>
        <w:ind w:left="880"/>
        <w:spacing w:after="0" w:line="334" w:lineRule="auto"/>
        <w:rPr>
          <w:sz w:val="20"/>
          <w:szCs w:val="20"/>
          <w:color w:val="auto"/>
        </w:rPr>
      </w:pPr>
      <w:r>
        <w:rPr>
          <w:rFonts w:ascii="Arial" w:cs="Arial" w:eastAsia="Arial" w:hAnsi="Arial"/>
          <w:sz w:val="11"/>
          <w:szCs w:val="11"/>
          <w:b w:val="1"/>
          <w:bCs w:val="1"/>
          <w:i w:val="1"/>
          <w:iCs w:val="1"/>
          <w:color w:val="auto"/>
        </w:rPr>
        <w:t>A significant portion of our revenues has been derived from a single customer and as of March 31, 2011 that customer has stopped accepting scheduled deliveries and refused to pay amounts outstanding as of that date.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w:t>
      </w:r>
    </w:p>
    <w:p>
      <w:pPr>
        <w:spacing w:after="0" w:line="32"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Sinovel Wind Group Co., Ltd. (“Sinovel”) has been our largest customer, accounting for 68% of our total revenue for fiscal 2010, 70% of our total revenue for fiscal 2009 and 67% of our total revenue for fiscal 2008. We derived our revenues from Sinovel from the sale of core electrical components as well as development contracts for the design of wind turbines. We had approximately $62.0 million of receivables (excluding value added tax), some aged over six months, outstanding as of March 31, 2011 from Sinovel. Of this amount, approximately $56 million was due to AMSC China. The last payment received from Sinovel was in early March 2011. On March 31, 2011, Sinovel informed us that they would not accept scheduled shipments, which had a potential revenue value of approximately $65.2 million, nor pay amounts outstanding as of that date.</w:t>
      </w:r>
    </w:p>
    <w:p>
      <w:pPr>
        <w:spacing w:after="0" w:line="55"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While we have had several discussions with Sinovel since March 31, 2011, as of the date of this filing, we have not received payment for any outstanding receivables nor have we been notified as to when, if ever, they will accept contracted shipments that were scheduled for delivery after March 31, 2011. Additionally, based in part upon evidence obtained through an internal investigation and a criminal investigation by Austrian authorities regarding the actions of a former employee of our AMSC Windtec subsidiary, we believe that Sinovel illegally obtained and used our intellectual property in violation of civil and criminal intellectual property laws. 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In addition, we are in the process of filing civil and criminal complaints in China against Sinovel and on September 16, 2011, we filed a civil complaint against other parties, including Dalian Guotong Electric Co., Ltd. The complaints allege the illegal use of our intellectual property. We are seeking to compel Sinovel and the other parties to cease and desist from infringing our intellectual property and are also seeking monetary damages to compensate us for our economic losses resulting from the infringement. We cannot provide any assurance as to the outcome of these legal actions. We intend to manage our business going forward assuming that Sinovel is no longer a customer. For more information about these legal proceedings, see Part I, Item 3, “Legal Proceedings.”</w:t>
      </w:r>
    </w:p>
    <w:p>
      <w:pPr>
        <w:spacing w:after="0" w:line="60"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We cannot be certain when, if ever, our dispute with Sinovel will be resolved in a manner that would be acceptable to Sinovel and us or if Sinovel will resume accepting shipments or make any payments to us, if at all.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 Because Sinovel has accounted for more than two-thirds of our revenues over each of the past three fiscal years, it will be difficult to replace the related revenues in the foreseeable future, if we are able to replace the revenues at all. As a result, in future periods, we may have significantly lower revenues, we may generate significant operating losses and negative cash flows from operations and the price of our common stock may decline significantly, all of which makes it difficult to evaluate our business and future prospects. We cannot be certain what additional impact there will be on our customers, sub-contractors, suppliers and partners in China as a result of the disruption in our relationship with Sinovel.</w:t>
      </w:r>
    </w:p>
    <w:p>
      <w:pPr>
        <w:spacing w:after="0" w:line="137"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will require significant additional funding and may be unable to raise capital when needed, which could force us to delay, reduce or eliminate planned activities, including the planned acquisition of The Switch Engineering Oy.</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of June 30, 2011, we had approximately $166.2 million of cash, cash equivalents, marketable securities and restricted cash. We will need additional capital in order to complete the planned acquisition of The Switch Engineering Oy (“The Switch”) and fund our working capital, capital expenditures and other cash requirements.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0" w:lineRule="auto"/>
        <w:rPr>
          <w:sz w:val="20"/>
          <w:szCs w:val="20"/>
          <w:color w:val="auto"/>
        </w:rPr>
      </w:pPr>
      <w:r>
        <w:rPr>
          <w:rFonts w:ascii="Arial" w:cs="Arial" w:eastAsia="Arial" w:hAnsi="Arial"/>
          <w:sz w:val="12"/>
          <w:szCs w:val="12"/>
          <w:color w:val="auto"/>
        </w:rPr>
        <w:t>Any financing for such purpose may occur through public or private equity offerings, debt financings, or other financing alternatives. Shareholders may suffer additional dilution if we raise capital through a sale of equity. If we raise additional capital through debt financing, earnings per share will be negatively impacted due to additional interest expense. Additional equity or debt financing may not be available on acceptable terms, if at all. In addition, debt financing, if available, may involve covenants restricting our operations or our ability to incur additional debt. If we are unsuccessful in raising additional funds, we may be required to delay, reduce or eliminate plans or programs relating to our business. We may also be unable or unwilling to consummate the planned acquisition of The Switch, which could subject us to liability. Our obligation to consummate the planned acquisition of The Switch is subject to the condition that we have secured sufficient financing to consummate the planned acquisition of The Switch and leave us with $100 million for working capital. If we fail to raise sufficient additional funds and terminate the purchase agreement for the planned acquisition of The Switch, we will likely forfeit the $20.6 million cash advance payment we paid to the shareholders of The Switch on June 29, 2011. In the event we fail to consummate the planned acquisition of The Switch, the price of our common stock may decline.</w:t>
      </w:r>
    </w:p>
    <w:p>
      <w:pPr>
        <w:spacing w:after="0" w:line="137"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We have a history of operating losses, and we may incur additional losses in the future. Our operating results may fluctuate significantly from quarter to quarter and may fall below expectations in any particular fiscal quarter.</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While we achieved profitable results in fiscal 2009, we recorded a net loss in fiscal 2010 and we are unlikely to be profitable in fiscal 2011 given the disruption in our relationship with Sinovel. We cannot be certain that we will regain profitability in fiscal 2012 or thereafter. We incurred net losses in each year since our inception through fiscal 2008, driven primarily by the research and development activities in what was formerly our AMSC Superconductors business segment.</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There is currently substantial uncertainty in our business, particularly as it relates to our relationship with Sinovel, our ability to raise additional funds and complete the planned acquisition of The Switch, and our restatement of our financial statements for the second and third quarters of fiscal 2010. All of these factors make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complete the planned acquisition of The Switch, our operating results and financial condition could be harmed and the price of our common stock could decline.</w:t>
      </w:r>
    </w:p>
    <w:p>
      <w:pPr>
        <w:spacing w:after="0" w:line="11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March 12, 2011, we entered into a Share Purchase Agreement with the shareholders of The Switch, which we amended on June 29, 2011. We cannot assure you that the closing conditions for the completion of the planned acquisition of The Switch will be satisfied or waived. In connection with closing the planned acquisition of The Switch, we will be subject to several risks, including the following:</w:t>
      </w:r>
    </w:p>
    <w:p>
      <w:pPr>
        <w:spacing w:after="0" w:line="67"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occurrence of any effect, event, development or change that could give rise to the termination of the Share Purchase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inability to complete the planned acquisition of The Switch due to the failure to satisfy closing conditions;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failure to obtain the necessary financing arrangements required to complete the planned acquisition of The Switch, and the amount of the costs, fees, expenses and charges related to the actual terms of any such financing.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we fail to complete the planned acquisition of The Switch, our operating results and financial condition could be harmed and the price of our common stock could decline.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Completion of the planned acquisition of The Switch could present certain risks.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consummate the acquisition of The Switch, we will be subject to several risks, including the following:</w:t>
      </w:r>
    </w:p>
    <w:p>
      <w:pPr>
        <w:spacing w:after="0" w:line="96" w:lineRule="exact"/>
        <w:rPr>
          <w:sz w:val="20"/>
          <w:szCs w:val="20"/>
          <w:color w:val="auto"/>
        </w:rPr>
      </w:pPr>
    </w:p>
    <w:p>
      <w:pPr>
        <w:ind w:left="12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revenues of The Switch are highly dependent on one customer, Goldwind Science &amp; Technology Co., Ltd., which represented approximately 87% of the total revenue of The Switch for the year ended December 31, 2010;</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substantially all of the revenues of The Switch are derived from customers located in China, which customers represented approximately 93% of the total revenue of The Switch for the year ended December 31, 2010;</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incur debt to finance the planned acquisition of The Switch, we will be required to make significant interest and principal payments to service the indebtedness;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mistaken assumptions about volumes, revenue and costs, including synergies;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risk that The Switch’s current plans and operations will be disrupted, which may make it difficult to retain its employees;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risk that we will not be able to effectively integrate the operations of The Switch and, as a result, we may not realize the synergies from the planned acquisition of The Switch that we planned.</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Furthermore, the planned acquisition of The Switch could expose us to additional unknown and contingent liabilities. We have performed a certain level of diligence in connection with the planned acquisition of The Switch and have attempted to verify the representations made by The Switch, but there may be unknown and contingent liabilities related to The Switch of which we are unaware.</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There is a risk that we could ultimately be liable for unknown obligations relating to The Switch for which indemnification is not available. In addition, any disruption arising from the planned acquisition of The Switch may make it more difficult for us to maintain relationships with our customers, employees or suppliers.</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Finally, the planned acquisition of The Switch may not be accretive to our earnings and may negatively impact our results of operations as a result of, among other things, the incurrence of debt, write-offs of goodwill and amortization expenses of other intangible assets.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of these events could adversely affect our operating results and financial condition and could lower the price of our common stock.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changes in domestic and global economic conditions could adversely affect our operating results.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have become increasingly subject to the risks arising from adverse changes in domestic and global economic conditions. The state of both the domestic and global economies is uncertain due to the difficulty in obtaining credit, weak economic recovery, and financial market volatility. If credit continues to be difficult to obtain, some customers may delay or reduce purchases. This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exchange rates could adversely affect our results from operations.</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Currency exchange rate fluctuations could have an adverse effect on our revenues and results of operations, and we could experience losses with respect to hedging activities. In fiscal 2010, 93% of our revenues were recognized from sales outside the United States. Unfavorable currency fluctuations could require us to increase prices to foreign customers, which could result in lower revenues from such customers. Alternatively, if we do not adjust the prices for our products in response to unfavorable currency fluctuations, our results of operations could be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From time to time, we enter into derivative instruments, including forward foreign exchange contracts and currency options to reduce currency exposure arising from intercompany sales of inventory and exposures arising from the sale of products denominated in one currency while costs are denominated in another. However, we cannot be certain that our efforts will be adequate to protect us against significant currency fluctuations or that such efforts will not expose us to additional exchange rate risks.</w:t>
      </w:r>
    </w:p>
    <w:p>
      <w:pPr>
        <w:spacing w:after="0" w:line="150" w:lineRule="exact"/>
        <w:rPr>
          <w:sz w:val="20"/>
          <w:szCs w:val="20"/>
          <w:color w:val="auto"/>
        </w:rPr>
      </w:pPr>
    </w:p>
    <w:p>
      <w:pPr>
        <w:ind w:left="880" w:right="80"/>
        <w:spacing w:after="0" w:line="264"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if we fail to remediate these weaknesses and maintain proper and effective internal controls over financial reporting, our ability to produce accurate and timely financial statements could be impaired and may lead investors and other users to lose confidence in our financial data.</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Maintaining effective internal controls over financial reporting is necessary for us to produce reliable financial statements. In evaluating the effectiveness of our internal controls over financial reporting as of March 31, 2011, management concluded that there were material weaknesses in internal control over financial reporting related to our revenues and accounts receivable balances as fees were not fixed or determinable or collectability was not reasonably assured at the time revenue was recognized, and outstanding accounts receivable balances were uncollectable. The specific material weaknesses are:</w:t>
      </w:r>
    </w:p>
    <w:p>
      <w:pPr>
        <w:spacing w:after="0" w:line="70" w:lineRule="exact"/>
        <w:rPr>
          <w:sz w:val="20"/>
          <w:szCs w:val="20"/>
          <w:color w:val="auto"/>
        </w:rPr>
      </w:pPr>
    </w:p>
    <w:p>
      <w:pPr>
        <w:ind w:left="12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did not maintain adequate controls to ensure proper monitoring and evaluation of customer creditworthiness, including the collectability of amounts due from customers and appropriate revenue recognition;</w:t>
      </w:r>
    </w:p>
    <w:p>
      <w:pPr>
        <w:spacing w:after="0" w:line="49"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25"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5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errors related to control deficiencies led the audit committee of our board of directors to conclude that the financial statements contained in our Quarterly Reports on Form 10-Q for the fiscal quarters ended September 30, 2010 and December 31, 2010 should no longer be relied upon. Specifically, we determined that at the time of certain product shipments to certain of our customers in China during the second and third quarters of the fiscal year ended March 31, 2011, the fees related to the shipments in some cases were not fixed or determinable or collectability was not reasonably assured. As a result, we restated our financial statements for the fiscal quarters ended September 30, 2010 and December 31, 2010 and were delayed in filing our Annual Report on Form 10-K for the fiscal year ended March 31, 2011 and our Quarterly Report on Form 10-Q for the quarter ended June 30, 2011.</w:t>
      </w:r>
    </w:p>
    <w:p>
      <w:pPr>
        <w:spacing w:after="0" w:line="55"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Although our restated financial statements have been filed with the SEC, we are in the process of remediating the material weaknesses identified above by, among other things, establishing formal, written policies and procedures governing the customer credit process, improving procedures to ensure the proper review and documentation of customer creditworthiness, establishing a new worldwide revenue manager position in finance with GAAP experience to ensure accuracy of revenue recognition, improving procedures to ensure the proper communication, approval and accounting review of deviations from sales contracts and providing additional and on-going training to product managers and others involved in negotiating contractual arrangements and accounting for revenue transactions, in order to heighten awareness of revenue recognition concepts under GAAP. We do not know the specific time frame needed to fully remediate the material weaknesses identified. If we fail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remediate these material weaknesses or fail to otherwise maintain effective controls over financial reporting in the future, we might not be able to prevent or detect on a timely basis a material misstatement of our financial statements, which could cause investors and other users to lose confidence in our financial data.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implement our business strategy successfully, our financial performance could be harmed.</w:t>
      </w:r>
    </w:p>
    <w:p>
      <w:pPr>
        <w:spacing w:after="0" w:line="96"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products, pursuing overseas markets, anticipating customer needs in the development of system-level solutions, strengthening our technology leadership while lowering cost and pursuing targeted strategic acquisitions and alliances such as the planned acquisition of The Switch.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Our ability to address the disruption in our relationship with Sinovel or implement our business strategy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63"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This risk is magnified by the current substantial uncertainty in our business, particularly as it relates to the pending arbitration and civil and potential criminal proceedings with Sinovel, our ability to raise additional funds and close the planned acquisition of The Switch, the remediation of the material weaknesses identified in our internal controls and our recent restatement of our financial statements, all of which is diverting management’s attention from operating our business. Management has and is continuing to invest considerable time addressing these issues, which has been a substantial diversion of management’s time and attention and could lead to disruptions in operations and delay in the implementation of our strategy, all of which could negatively impact our business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realize all of the sales expected from our backlog of orders and contracts.</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Although we have generally reported significant backlog, we cannot assure you that we will realize the revenue we expect to generate from this backlog in the periods we expect to realize such revenue, or at all. For example, on March 31, 2011, Sinovel refused to accept contracted shipments of 1.5 MW and 3 MW wind turbine core electrical components and spare parts that we were prepared to deliver. We have outstanding payments due from Sinovel for products and services delivered, not including value added taxes, of $62.0 million which have not yet been reported as revenue or accounts receivable. We have initiated arbitration and civil proceedings against Sinovel and we have submitted evidence of criminal acts by Sinovel to the Chinese authorities in order to initiate criminal proceedings. As a result, Sinovel may not accept any further shipments or pay for any past shipments. For more information about these legal proceedings, see Part I, Item 3, “Legal Proceedings.”</w:t>
      </w:r>
    </w:p>
    <w:p>
      <w:pPr>
        <w:spacing w:after="0" w:line="72"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5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Although we strive to maintain ongoing relationships with our customers, there is an ongoing risk that they may cancel orders or reschedule orders due to fluctuations in their business needs or purchasing budgets.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Many of our revenue opportunities are dependent upon subcontractors and other business collaborators.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face intense competition, which could limit our ability to acquire or retain customers.</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The markets for our products are intensely competitive and 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3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Wind business faces competition for the supply of wind turbine engineering design services from design engineering firms such as Garrad Hassan, and from licensors of wind turbine systems such as Aerodyn, AventisEnergy and Fuhrlander.</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Wind business also faces competition from companies offering power electronic converters for use in applications for which we expect to sell our PowerModule products. These companies include ABB, Inverpower, SatCon, Semikron and Xantrex (a subsidiary of Schneider Electric).</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Finally, our Wind business faces competition from companies offering wind turbine electrical system components, including ABB, Converteam, Guotong Electric, Ingeteam, Mita-Teknik, Woodward and Xantrex. We also face indirect competition in the wind energy market from manufacturers of wind energy systems, such as Gamesa, General Electric, Suzlon and Vestas.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Grid business faces competition from companies offering FACTS systems similar to our D-VAR and SVC solutions. These include SVCs from ABB, Alstrom, AREVA, Mitsubishi Electric and Siemens; adaptive VAR compensators and STATCOMs produced by S&amp;C Electric; dynamic voltage restorers (“DVRs”) produced by companies such as ABB and S&amp;C Electric; and flywheels and battery-based UPS systems offered by various companies around the world.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Grid business also faces competition both from vendors of traditional wires made from materials such as copper and from companies who are developing HTS wires.</w:t>
      </w:r>
    </w:p>
    <w:p>
      <w:pPr>
        <w:spacing w:after="0" w:line="108"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Finally, our Grid business faces competition for our Amperium wire from a number of companies in the United States and abroad who are developing 2G HTS wire technology. These include Innova, MetOx, Superconductor Technologies and Superpower (a subsidiary of Royal Philips Electronics) in the United States; Fujikura, Furukawa, Showa and Sumitomo in Japan; SuNAM in South Korea; and Bruker, evico GmbH and Nexans in Europe. Certain companies, including evico GmbH, Furukawa, Nexans, Showa and Sumitomo Electric, have been focusing their research programs more recently on the development of 2G HTS wire made by the same or similar processes we have chosen to use to manufacture our Amperium wire.</w:t>
      </w:r>
    </w:p>
    <w:p>
      <w:pPr>
        <w:spacing w:after="0" w:line="5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is dependent upon attracting and retaining qualified personnel and our inability to do so could significantly damage our business and prospects.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Hiring and retaining good personnel for our business is challenging, and highly qualified technical personnel are likely to remain a limited resource for the foreseeable future despite current economic conditions and high unemployment levels. We may not be able to hire the necessary personnel to implement our business strategy, or we may need to provide higher compensation or more training to our personnel than we currently anticipate. Moreover, any officer or employee can terminate his or her relationship with us at any time.</w:t>
      </w:r>
    </w:p>
    <w:p>
      <w:pPr>
        <w:spacing w:after="0" w:line="5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From April 1, 2011 through the date of this filing, including the restructuring plan we announced in August 2011, we have reduced our global workforce by approximately 30% in order to reorganize our global operations, streamline various functions of the business, and reduce our global workforce to match the demand for our products. Employee retention may be a particularly challenging issue following reductions in workforce and organizational changes since we also must continue to motivate employees and keep them focused on our strategies and goals, which may be particularly difficult. If we lose the services of any key personnel, our business, results of operations and financial condition could be materially adversely affected.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may acquire additional complementary businesses or technologies, which may require us to incur substantial costs for which we may never realize the anticipated benefits.</w:t>
      </w:r>
    </w:p>
    <w:p>
      <w:pPr>
        <w:spacing w:after="0" w:line="11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prior acquisitions required substantial integration and management efforts and we expect the planned acquisition of The Switch to require similar efforts. As a result of any acquisition we pursue, management’s attention and resources may be diverted from our other businesses. An acquisition may also involve the payment of a significant purchase price, which could reduce our cash position or dilute our stockholders, and require significant transaction-related expenses.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Achieving the benefits of any acquisition involves additional risks, including:</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difficulty assimilating acquired operations, technologies and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retain management and other key personnel of the acquired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management or other key personnel that may harm relationships with the acquired business’s customers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unforeseen liabilities of the acquired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diversion of management’s and employees’ attention from other business matters as a result of the integration process;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mistaken assumptions about volumes, revenue and costs, including synergies;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on rights to indemnity from the seller;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mistaken assumptions about the overall costs of equity or debt used to finance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unforeseen difficulties operating in new product areas, with new customers, or in new geographic areas.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cannot assure you that we will realize any of the anticipated benefits of any acquisition, including without limitation, the planned acquisition of The Switch, and if we fail to realize these anticipated benefits, our operating performance could suffer.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are subject to risks that we do not face in the United States, which could have an adverse effect on our operating results.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recent years, a substantial majority of our consolidated revenues were recognized from customers outside of the United States. For example, 93% of our revenues in fiscal 2010 and 87% of our revenues in fiscal 2009 were recognized from sales outside the United States. Our international operations are subject to a variety of risks that we do not face in the United States, including:</w:t>
      </w:r>
    </w:p>
    <w:p>
      <w:pPr>
        <w:spacing w:after="0" w:line="67" w:lineRule="exact"/>
        <w:rPr>
          <w:sz w:val="20"/>
          <w:szCs w:val="20"/>
          <w:color w:val="auto"/>
        </w:rPr>
      </w:pPr>
    </w:p>
    <w:p>
      <w:pPr>
        <w:ind w:left="5620" w:right="1460" w:hanging="4530"/>
        <w:spacing w:after="0" w:line="750" w:lineRule="auto"/>
        <w:tabs>
          <w:tab w:leader="none" w:pos="1295"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potentially longer payment cycles for sales in foreign countries and difficulties in collecting accounts receivable, particularly from customers in China;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difficulties in staffing and managing our foreign offices and the increased travel, infrastructure and legal compliance costs associated with multiple international locations;</w:t>
      </w:r>
    </w:p>
    <w:p>
      <w:pPr>
        <w:spacing w:after="0" w:line="97"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imposition of, or unexpected adverse changes in, foreign laws or regulatory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exposure to foreign currency exchange rate risk;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reduced protection for intellectual property rights in some countries;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political unrest, war or acts of terrorism.</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reducing or eliminating our profits.</w:t>
      </w:r>
    </w:p>
    <w:p>
      <w:pPr>
        <w:spacing w:after="0" w:line="12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We depend on sales to customers in China, and global conditions could negatively affect our operating results or limit our ability to expand our operations outside of China. Changes in China’s political, social, regulatory and economic environment may affect our financial performance.</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A significant portion of our total revenues has been derived from customers in China and, in particular, from Sinovel. With respect to China, our financial performance may be affected by changes in China’s political, social, regulatory and economic environment. For example, new grid standards are being proposed in China to include a requirement for low-voltage ride through (“LVRT”) capability in wind turbines. Until these standards are finalized, the Chinese wind market will be subject to substantial uncertainty, which may cause our customers to delay or cancel orders.</w:t>
      </w:r>
    </w:p>
    <w:p>
      <w:pPr>
        <w:spacing w:after="0" w:line="7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role of the Chinese central and local governments in the Chinese economy is significant. For example, the economy of the People’s Republic of China differs from the economies of most developed countries in many respects, including the:</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higher level of government involvement;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early stage of development of the market-oriented sector of the economy;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rapid growth 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higher level of control over foreign exchange;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government influence over the allocation of resources.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Chinese policies toward economic liberalization, and laws and policies affecting foreign companies, currency exchange rates and other matters could change, resulting in greater restrictions on our ability to do business in China. Any imposition of surcharges or any increase in Chinese tax rates could hurt our operating results. The Chinese government could revoke, terminate or suspend our license for national security and similar reasons without compensation to us. If the government of China were to take any of these actions, we would be prevented from conducting all or part of our business. Any failure on our part to comply with governmental regulations could result in the loss of our ability to market our products in China.</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Further, we may be impacted by issues with managing foreign sales operations including long payment cycles, potential difficulties in accounts receivable collection and, especially from significant customers, fluctuations in the timing and amount of orders and the adverse effect of any of these issues on our business could be increased due to the concentration of our business with a small number of customers. The Chinese government is currently restricting lending from banks to companies in China as a means to fight inflation, resulting in a limitation of access to credit. In addition, we believe that many of our customers in China have high levels of inventory and high</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56" w:lineRule="auto"/>
        <w:rPr>
          <w:sz w:val="20"/>
          <w:szCs w:val="20"/>
          <w:color w:val="auto"/>
        </w:rPr>
      </w:pPr>
      <w:r>
        <w:rPr>
          <w:rFonts w:ascii="Arial" w:cs="Arial" w:eastAsia="Arial" w:hAnsi="Arial"/>
          <w:sz w:val="13"/>
          <w:szCs w:val="13"/>
          <w:color w:val="auto"/>
        </w:rPr>
        <w:t>accounts payable balances. Problems with collections from, or sales to, any one of those customers could reduce our revenue and harm our financial performance. We intend to mitigate the accounts receivable collection risk in the future by requiring our customers in China either to pay us in cash upon shipment or provide us with a letter of credit or bank guarantee to support their orders from us. However, we might not be successful in these efforts. If these arrangements are not acceptable to our customers, we may lose customers and our business and results of operations would be adversely affected. Operations in foreign countries including China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52"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Many of our customer relationships outside of the United States are, either directly or indirectly, with governmental entities, and we could be adversely affected by violations of the United States Foreign Corrupt Practices Act and similar worldwide anti-bribery laws outside the United States.</w:t>
      </w:r>
    </w:p>
    <w:p>
      <w:pPr>
        <w:spacing w:after="0" w:line="59"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 relationships outside of the United States are, either directly or indirectly, with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3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rely upon third party suppliers for the components and subassemblies of many of our Wind and Grid products, making us vulnerable to supply shortages and price fluctuations, which could harm our business.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Many of our components and subassemblies are currently manufactured for us by a limited number of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We are producing certain Wind products in our manufacturing facility in China.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becoming increasingly reliant on contracts that require the issuance of performance bonds.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While we have been required to provide performance bonds in the form of surety bonds or other forms of security in the past, the size of the bonds was not material. In recent years, we have entered into contracts that require us to post bonds of significant magnitude. In some instances, we may be required to deposit cash in escrow accounts as collateral for these instruments, which is unavailable to us for general use for significant periods of time. Should we be unable to obtain performance bonds in the future, significant future potential revenue could become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unavailable to us. Further, should our working capital situation deteriorate, we would not be able to access the escrowed cash to meet working capital requirements.</w:t>
      </w:r>
    </w:p>
    <w:p>
      <w:pPr>
        <w:spacing w:after="0" w:line="175"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Consistent with customary practice in our industry, we warrant our products and/or services to be free from defects in material and workmanship under normal use and service. We generally provide a one to three 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Furthermore, widespread product failures may damage our market reputation and reduce our market share and cause sales to decline.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in addressing the wind energy market is dependent on the manufacturers that license our designs.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Growth of the wind energy market depends largely on the availability and size of government subsidies and economic incentives.</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37" w:lineRule="exact"/>
        <w:rPr>
          <w:sz w:val="20"/>
          <w:szCs w:val="20"/>
          <w:color w:val="auto"/>
        </w:rPr>
      </w:pPr>
    </w:p>
    <w:p>
      <w:pPr>
        <w:ind w:left="880" w:right="340"/>
        <w:spacing w:after="0" w:line="320" w:lineRule="auto"/>
        <w:rPr>
          <w:sz w:val="20"/>
          <w:szCs w:val="20"/>
          <w:color w:val="auto"/>
        </w:rPr>
      </w:pPr>
      <w:r>
        <w:rPr>
          <w:rFonts w:ascii="Arial" w:cs="Arial" w:eastAsia="Arial" w:hAnsi="Arial"/>
          <w:sz w:val="12"/>
          <w:szCs w:val="12"/>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35"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demonstration in the cable, fault current limiter and motor industries may be necessary before a substantial commercial market could develop.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We have not manufactured our Amperium wire in commercial quantities, and a failure to manufacture our Amperium wire in commercial quantities at acceptable cost and quality levels would substantially limit our future revenue and profit potential.</w:t>
      </w:r>
    </w:p>
    <w:p>
      <w:pPr>
        <w:spacing w:after="0" w:line="5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We are developing commercial-scale manufacturing processes for our Amperium wire, which are very different from our 1G HTS wire manufacturing processes and are complex and challenging. In November 2007, we started initial production of our Amperium wire on a new manufacturing line that was designed for an annual capacity of 720,000 meters. However, in order to be able to offer our wire at pricing that we believe will be commercially competitive, we estimate that we will need to increase such capacity to millions of meters annually. We may not be able to manufacture satisfactory commercial quantities of Amperium wire of consistent quality with an acceptable yield and cost. Failure to successfully scale up manufacturing of our Amperium wire would result in a significant limitation of our ability to achieve broad market acceptance of our HTS products and of our future revenue and profit potential.</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commercial uses of superconductor products are limited today, and a widespread commercial market for our products may not develop.</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use superconductor cables and products in their projects.</w:t>
      </w:r>
    </w:p>
    <w:p>
      <w:pPr>
        <w:spacing w:after="0" w:line="5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 For example, a delay in the completion of the development and deployment of our FaultBlocker technology in Manhattan occurred due to a delay in construction by Consolidated Edison of a substation to which the cable system would be connected to.</w:t>
      </w:r>
    </w:p>
    <w:p>
      <w:pPr>
        <w:spacing w:after="0" w:line="5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It is possible that the market demands we currently anticipate for our Amperium products will not develop and that they will never achieve widespread commercial acceptance. In such event, we would not be able to implement our strategy, and our profits could be reduced or eliminated.</w:t>
      </w:r>
    </w:p>
    <w:p>
      <w:pPr>
        <w:spacing w:after="0" w:line="138" w:lineRule="exact"/>
        <w:rPr>
          <w:sz w:val="20"/>
          <w:szCs w:val="20"/>
          <w:color w:val="auto"/>
        </w:rPr>
      </w:pPr>
    </w:p>
    <w:p>
      <w:pPr>
        <w:ind w:left="880" w:right="500"/>
        <w:spacing w:after="0" w:line="276" w:lineRule="auto"/>
        <w:rPr>
          <w:sz w:val="20"/>
          <w:szCs w:val="20"/>
          <w:color w:val="auto"/>
        </w:rPr>
      </w:pPr>
      <w:r>
        <w:rPr>
          <w:rFonts w:ascii="Arial" w:cs="Arial" w:eastAsia="Arial" w:hAnsi="Arial"/>
          <w:sz w:val="13"/>
          <w:szCs w:val="13"/>
          <w:b w:val="1"/>
          <w:bCs w:val="1"/>
          <w:i w:val="1"/>
          <w:iCs w:val="1"/>
          <w:color w:val="auto"/>
        </w:rPr>
        <w:t>We have limited experience in marketing and selling our superconductor products and system-level solutions, and our failure to effectively market and sell our products and solutions could lower our revenue and cash flow.</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5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may decide to enter into arrangements with third parties for the marketing or distribution of our products, including arrangements in which our products, such as Amperium wire, are included as a component of a larger product, such as a power cable system or a wind turbine generator. By entering into marketing and sales alliances, the financial benefits to us of commercializing our products are dependent on the efforts of others.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contracts with the U.S. government are subject to audit, modification or termination by the U.S. government and include certain other provisions in favor of the government.</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continued funding of such contracts remains subject to annual congressional appropriation which, if not approved, could reduce our revenue and lower or eliminate our profit.</w:t>
      </w:r>
    </w:p>
    <w:p>
      <w:pPr>
        <w:spacing w:after="0" w:line="11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 certain rights to the intellectual property that we develop under the contract;</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decline to award future contracts if actual or apparent organizational conflicts of interest are discovered, or to impose organizational conflict mitigation measures as a condition of eligibility for an award;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suspend or debar us from doing business with the government or a specific government agency;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pursue criminal or civil remedies under the False Claims Act, False Statements Act and similar remedy provisions unique to government contracting.</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Intellectual Property And Legal Matters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adequately prevent disclosure of trade secrets and other proprietary information.</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example, based in part upon evidence obtained through an internal investigation and a criminal investigation conducted by Austrian authorities regarding the actions of a former employee of our AMSC Windtec subsidiary, we believe that Sinovel illegally obtained and used our intellectual property in violation of civil and criminal intellectual property laws. In July 2011, the former employee was arrested in Austria and 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5" w:lineRule="auto"/>
        <w:rPr>
          <w:sz w:val="20"/>
          <w:szCs w:val="20"/>
          <w:color w:val="auto"/>
        </w:rPr>
      </w:pPr>
      <w:r>
        <w:rPr>
          <w:rFonts w:ascii="Arial" w:cs="Arial" w:eastAsia="Arial" w:hAnsi="Arial"/>
          <w:sz w:val="12"/>
          <w:szCs w:val="12"/>
          <w:color w:val="auto"/>
        </w:rPr>
        <w:t>currently awaiting trial on charges of economic espionage and fraudulent manipulation of data. On September 13, 2011, we commenced a series of legal actions in China against Sinovel and other parties alleging the illegal use of our intellectual property. We cannot provide any assurance as to the outcome of these legal actions. This or future litigation with Sinovel could result in substantial costs and divert management’s attention and resources, which could have a material adverse effect on our business, operating results and financial condition. In addition, such proceedings may make it more difficult to finance our operations. If we are unsuccessful in this litigation and fail to maintain adequate protection of this intellectual property, our competitive business position would be adversely affected. For more information about these legal proceedings, see Part I, Item 3, “Legal Proceedings.”</w:t>
      </w:r>
    </w:p>
    <w:p>
      <w:pPr>
        <w:spacing w:after="0" w:line="134"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We have filed a demand for arbitration and other lawsuits against our former largest customer, Sinovel, regarding amounts we contend are due and owing and are in dispute. We cannot be certain as to the outcome of these proceedings.</w:t>
      </w:r>
    </w:p>
    <w:p>
      <w:pPr>
        <w:spacing w:after="0" w:line="5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On March 31, 2011, Sinovel refused to accept contracted scheduled shipments with a revenue value of approximately $65.2 million. In addition, as of March 31, 2011, we had approximately $62.0 million of receivables (excluding value added tax) outstanding from Sinovel.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55"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On September 13, 2011, we filed a claim for arbitration against Sinovel in Beijing, China to compel Sinovel to pay us for past product shipments and to accept all contracted but not yet delivered core electrical components and spare parts under all existing contracts with us. In addition, we have filed or are in the process of filing civil and criminal complaints in China against Sinovel alleging the illegal use of our intellectual property. For more information about these legal proceedings, see Part I, Item 3, “Legal Proceedings.”</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cannot provide any assurance as to the outcome of these legal actions or that, if we prevail, we ultimately will be able to collect any amounts awarded. Sinovel may bring claims against us alleging that our conduct has damaged it. As the legal proceedings continue, we and Sinovel may identify additional amounts in dispute. These legal proceedings could result in the incurrence of significant legal and related expenses, which may not be recoverable depending on the outcome of the litigation. An award by the arbitration panel or court in favor of Sinovel and/or the incurrence of significant legal fees which are not recoverable could adversely impact our operating results.</w:t>
      </w:r>
    </w:p>
    <w:p>
      <w:pPr>
        <w:spacing w:after="0" w:line="148" w:lineRule="exact"/>
        <w:rPr>
          <w:sz w:val="20"/>
          <w:szCs w:val="20"/>
          <w:color w:val="auto"/>
        </w:rPr>
      </w:pPr>
    </w:p>
    <w:p>
      <w:pPr>
        <w:ind w:left="880" w:right="80"/>
        <w:spacing w:after="0" w:line="264" w:lineRule="auto"/>
        <w:rPr>
          <w:sz w:val="20"/>
          <w:szCs w:val="20"/>
          <w:color w:val="auto"/>
        </w:rPr>
      </w:pPr>
      <w:r>
        <w:rPr>
          <w:rFonts w:ascii="Arial" w:cs="Arial" w:eastAsia="Arial" w:hAnsi="Arial"/>
          <w:sz w:val="13"/>
          <w:szCs w:val="13"/>
          <w:b w:val="1"/>
          <w:bCs w:val="1"/>
          <w:i w:val="1"/>
          <w:iCs w:val="1"/>
          <w:color w:val="auto"/>
        </w:rPr>
        <w:t>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 number of purported class action lawsuits have been filed against us on behalf of certain purchasers of our common stock. The complaints generally include allegations that we violated federal securities laws by, among other things, knowingly making materially false and misleading statements and omitting important facts regarding our dealings with Sinovel, thereby artificially inflating the price of our common stock. The complaints seek monetary damages, costs, attorney’s fees and other equitable and injunctive relief. Securities class action suits and derivative suits are often brought against companies following periods of volatility in the market price of their securities. In addition, stockholder derivative actions have been initiated against us and certain of our directors and officers. These complaints purport to seek relief on behalf of the company to remedy alleged breaches of fiduciary duty and other misconduct by the defendants.</w:t>
      </w:r>
    </w:p>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intend to defend these lawsuits vigorously. We cannot assure you, however, that we will be successful. Also, our insurance coverage may be insufficient, our assets may be insufficient to cover any amounts that exceed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9" w:lineRule="auto"/>
        <w:rPr>
          <w:sz w:val="20"/>
          <w:szCs w:val="20"/>
          <w:color w:val="auto"/>
        </w:rPr>
      </w:pPr>
      <w:r>
        <w:rPr>
          <w:rFonts w:ascii="Arial" w:cs="Arial" w:eastAsia="Arial" w:hAnsi="Arial"/>
          <w:sz w:val="12"/>
          <w:szCs w:val="12"/>
          <w:color w:val="auto"/>
        </w:rPr>
        <w:t>our insurance coverage, and we may have to pay damage awards or otherwise may enter into settlement arrangements in connection with such claims. Any such payments or settlement arrangements in this current litigation or any future litigation could have material adverse effects on our business, operating results or financial condition. Even if the plaintiffs’ claims are not successful, this or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32"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59"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patents may not provide meaningful protection for our technology, which could result in us losing some or all of our market position.</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patent applications that we or our licensors file may not result in patents being issued;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patents issued may be challenged by third parties;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others may independently develop similar technologies not protected by our patents or design around the patented aspects of any technologies we develop.</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28"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expect that some or all of the HTS materials, processes and technologies we use in designing and manufacturing our products are or will become covered by patents issued to other parties, including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Owning Our Common Stock</w:t>
      </w:r>
    </w:p>
    <w:p>
      <w:pPr>
        <w:spacing w:after="0" w:line="100"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spacing w:after="0" w:line="59"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The market price of our common stock has historically experienced significant volatility and may continue to experience such volatility in the future. Factors such as our financial performance, technological achievements by us and our competitors, the establishment of development or strategic relationships with other companies, strategic acquisitions such as the planned acquisition of The Switch, new customer orders and contracts, our exposure to, and the disruption in our relationship with Sinovel, and our introduction of commercial products may have a significant effect on the market price of our common stock. For example, after we announced on April 5, 2011 that our largest customer, Sinovel, had refused shipments on March 31, 2011, our stock price dropped significantly.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Currently a number of purported class action lawsuits have been filed against us on behalf of certain purchasers of our common stock, which we are prepared to rigorously defend. If we become subject to additional litigation of this kind in the future, it could result in additional substantial litigation costs, a damages award against us and the further diversion of our management’s attention.</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jc w:val="center"/>
        <w:ind w:right="76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corporate headquarters and Amperium</w:t>
      </w:r>
      <w:r>
        <w:rPr>
          <w:rFonts w:ascii="Arial" w:cs="Arial" w:eastAsia="Arial" w:hAnsi="Arial"/>
          <w:sz w:val="7"/>
          <w:szCs w:val="7"/>
          <w:color w:val="auto"/>
        </w:rPr>
        <w:t>TM</w:t>
      </w:r>
      <w:r>
        <w:rPr>
          <w:rFonts w:ascii="Arial" w:cs="Arial" w:eastAsia="Arial" w:hAnsi="Arial"/>
          <w:sz w:val="12"/>
          <w:szCs w:val="12"/>
          <w:color w:val="auto"/>
        </w:rPr>
        <w:t xml:space="preserve"> wire manufacturing operations are located in a 355,000-square-foot facility owned by us and located in Devens, Massachusetts.</w:t>
      </w:r>
    </w:p>
    <w:p>
      <w:pPr>
        <w:spacing w:after="0" w:line="10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also occupy leased facilities located in Middleton and New Berlin, Wisconsin; Suzhou and Beijing, China; and Klagenfurt, Austria with a combined total of approximately 341,000 square feet of space. These leases have varying expiration dates through February 2016 which can generally be terminated at our request after a six month advance notice. Our other locations focus primarily on applications engineering, sales and/or field service and do not have significant leases or physical presence. We believe all of these facilities are well-maintained and suitable for their intended uses.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regarding our significant leased and owned properties, as of March 31, 2011: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96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1400" w:type="dxa"/>
            <w:vAlign w:val="bottom"/>
          </w:tcPr>
          <w:p>
            <w:pPr>
              <w:jc w:val="right"/>
              <w:ind w:right="276"/>
              <w:spacing w:after="0"/>
              <w:rPr>
                <w:sz w:val="20"/>
                <w:szCs w:val="20"/>
                <w:color w:val="auto"/>
              </w:rPr>
            </w:pPr>
            <w:r>
              <w:rPr>
                <w:rFonts w:ascii="Arial" w:cs="Arial" w:eastAsia="Arial" w:hAnsi="Arial"/>
                <w:sz w:val="10"/>
                <w:szCs w:val="10"/>
                <w:b w:val="1"/>
                <w:bCs w:val="1"/>
                <w:color w:val="auto"/>
              </w:rPr>
              <w:t>Square Footage</w:t>
            </w:r>
          </w:p>
        </w:tc>
        <w:tc>
          <w:tcPr>
            <w:tcW w:w="2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auto"/>
                <w:w w:val="93"/>
              </w:rPr>
              <w:t>Owned/Leased</w:t>
            </w:r>
          </w:p>
        </w:tc>
      </w:tr>
      <w:tr>
        <w:trPr>
          <w:trHeight w:val="29"/>
        </w:trPr>
        <w:tc>
          <w:tcPr>
            <w:tcW w:w="80" w:type="dxa"/>
            <w:vAlign w:val="bottom"/>
            <w:tcBorders>
              <w:top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157"/>
        </w:trPr>
        <w:tc>
          <w:tcPr>
            <w:tcW w:w="6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7"/>
        </w:trPr>
        <w:tc>
          <w:tcPr>
            <w:tcW w:w="80" w:type="dxa"/>
            <w:vAlign w:val="bottom"/>
          </w:tcPr>
          <w:p>
            <w:pPr>
              <w:spacing w:after="0"/>
              <w:rPr>
                <w:sz w:val="13"/>
                <w:szCs w:val="13"/>
                <w:color w:val="auto"/>
              </w:rPr>
            </w:pPr>
          </w:p>
        </w:tc>
        <w:tc>
          <w:tcPr>
            <w:tcW w:w="6880" w:type="dxa"/>
            <w:vAlign w:val="bottom"/>
          </w:tcPr>
          <w:p>
            <w:pPr>
              <w:ind w:left="60"/>
              <w:spacing w:after="0"/>
              <w:rPr>
                <w:sz w:val="20"/>
                <w:szCs w:val="20"/>
                <w:color w:val="auto"/>
              </w:rPr>
            </w:pPr>
            <w:r>
              <w:rPr>
                <w:rFonts w:ascii="Arial" w:cs="Arial" w:eastAsia="Arial" w:hAnsi="Arial"/>
                <w:sz w:val="13"/>
                <w:szCs w:val="13"/>
                <w:color w:val="auto"/>
              </w:rPr>
              <w:t>Devens, Massachusetts</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355,000</w:t>
            </w:r>
          </w:p>
        </w:tc>
        <w:tc>
          <w:tcPr>
            <w:tcW w:w="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Owned</w:t>
            </w:r>
          </w:p>
        </w:tc>
      </w:tr>
      <w:tr>
        <w:trPr>
          <w:trHeight w:val="157"/>
        </w:trPr>
        <w:tc>
          <w:tcPr>
            <w:tcW w:w="80" w:type="dxa"/>
            <w:vAlign w:val="bottom"/>
            <w:shd w:val="clear" w:color="auto" w:fill="CCEEFF"/>
          </w:tcPr>
          <w:p>
            <w:pPr>
              <w:spacing w:after="0"/>
              <w:rPr>
                <w:sz w:val="13"/>
                <w:szCs w:val="13"/>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Middleton, Wisconsin</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95,000</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Leased</w:t>
            </w:r>
          </w:p>
        </w:tc>
      </w:tr>
      <w:tr>
        <w:trPr>
          <w:trHeight w:val="157"/>
        </w:trPr>
        <w:tc>
          <w:tcPr>
            <w:tcW w:w="80" w:type="dxa"/>
            <w:vAlign w:val="bottom"/>
          </w:tcPr>
          <w:p>
            <w:pPr>
              <w:spacing w:after="0"/>
              <w:rPr>
                <w:sz w:val="13"/>
                <w:szCs w:val="13"/>
                <w:color w:val="auto"/>
              </w:rPr>
            </w:pPr>
          </w:p>
        </w:tc>
        <w:tc>
          <w:tcPr>
            <w:tcW w:w="6880" w:type="dxa"/>
            <w:vAlign w:val="bottom"/>
          </w:tcPr>
          <w:p>
            <w:pPr>
              <w:ind w:left="60"/>
              <w:spacing w:after="0"/>
              <w:rPr>
                <w:sz w:val="20"/>
                <w:szCs w:val="20"/>
                <w:color w:val="auto"/>
              </w:rPr>
            </w:pPr>
            <w:r>
              <w:rPr>
                <w:rFonts w:ascii="Arial" w:cs="Arial" w:eastAsia="Arial" w:hAnsi="Arial"/>
                <w:sz w:val="13"/>
                <w:szCs w:val="13"/>
                <w:color w:val="auto"/>
              </w:rPr>
              <w:t>New Berlin, Wisconsin</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50,000</w:t>
            </w:r>
          </w:p>
        </w:tc>
        <w:tc>
          <w:tcPr>
            <w:tcW w:w="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84"/>
              </w:rPr>
              <w:t>Leased</w:t>
            </w:r>
          </w:p>
        </w:tc>
      </w:tr>
      <w:tr>
        <w:trPr>
          <w:trHeight w:val="157"/>
        </w:trPr>
        <w:tc>
          <w:tcPr>
            <w:tcW w:w="6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China</w:t>
            </w: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7"/>
        </w:trPr>
        <w:tc>
          <w:tcPr>
            <w:tcW w:w="80" w:type="dxa"/>
            <w:vAlign w:val="bottom"/>
          </w:tcPr>
          <w:p>
            <w:pPr>
              <w:spacing w:after="0"/>
              <w:rPr>
                <w:sz w:val="13"/>
                <w:szCs w:val="13"/>
                <w:color w:val="auto"/>
              </w:rPr>
            </w:pPr>
          </w:p>
        </w:tc>
        <w:tc>
          <w:tcPr>
            <w:tcW w:w="6880" w:type="dxa"/>
            <w:vAlign w:val="bottom"/>
          </w:tcPr>
          <w:p>
            <w:pPr>
              <w:ind w:left="60"/>
              <w:spacing w:after="0"/>
              <w:rPr>
                <w:sz w:val="20"/>
                <w:szCs w:val="20"/>
                <w:color w:val="auto"/>
              </w:rPr>
            </w:pPr>
            <w:r>
              <w:rPr>
                <w:rFonts w:ascii="Arial" w:cs="Arial" w:eastAsia="Arial" w:hAnsi="Arial"/>
                <w:sz w:val="13"/>
                <w:szCs w:val="13"/>
                <w:color w:val="auto"/>
              </w:rPr>
              <w:t>Suzhou</w:t>
            </w:r>
          </w:p>
        </w:tc>
        <w:tc>
          <w:tcPr>
            <w:tcW w:w="1400" w:type="dxa"/>
            <w:vAlign w:val="bottom"/>
          </w:tcPr>
          <w:p>
            <w:pPr>
              <w:jc w:val="right"/>
              <w:ind w:right="416"/>
              <w:spacing w:after="0"/>
              <w:rPr>
                <w:sz w:val="20"/>
                <w:szCs w:val="20"/>
                <w:color w:val="auto"/>
              </w:rPr>
            </w:pPr>
            <w:r>
              <w:rPr>
                <w:rFonts w:ascii="Arial" w:cs="Arial" w:eastAsia="Arial" w:hAnsi="Arial"/>
                <w:sz w:val="13"/>
                <w:szCs w:val="13"/>
                <w:color w:val="auto"/>
              </w:rPr>
              <w:t>124,000</w:t>
            </w:r>
          </w:p>
        </w:tc>
        <w:tc>
          <w:tcPr>
            <w:tcW w:w="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84"/>
              </w:rPr>
              <w:t>Leased</w:t>
            </w:r>
          </w:p>
        </w:tc>
      </w:tr>
      <w:tr>
        <w:trPr>
          <w:trHeight w:val="157"/>
        </w:trPr>
        <w:tc>
          <w:tcPr>
            <w:tcW w:w="80" w:type="dxa"/>
            <w:vAlign w:val="bottom"/>
            <w:shd w:val="clear" w:color="auto" w:fill="CCEEFF"/>
          </w:tcPr>
          <w:p>
            <w:pPr>
              <w:spacing w:after="0"/>
              <w:rPr>
                <w:sz w:val="13"/>
                <w:szCs w:val="13"/>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Beijing</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10,000</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Leased</w:t>
            </w:r>
          </w:p>
        </w:tc>
      </w:tr>
      <w:tr>
        <w:trPr>
          <w:trHeight w:val="157"/>
        </w:trPr>
        <w:tc>
          <w:tcPr>
            <w:tcW w:w="6960" w:type="dxa"/>
            <w:vAlign w:val="bottom"/>
            <w:gridSpan w:val="2"/>
          </w:tcPr>
          <w:p>
            <w:pPr>
              <w:spacing w:after="0"/>
              <w:rPr>
                <w:sz w:val="20"/>
                <w:szCs w:val="20"/>
                <w:color w:val="auto"/>
              </w:rPr>
            </w:pPr>
            <w:r>
              <w:rPr>
                <w:rFonts w:ascii="Arial" w:cs="Arial" w:eastAsia="Arial" w:hAnsi="Arial"/>
                <w:sz w:val="13"/>
                <w:szCs w:val="13"/>
                <w:color w:val="auto"/>
              </w:rPr>
              <w:t>Austria</w:t>
            </w: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7"/>
        </w:trPr>
        <w:tc>
          <w:tcPr>
            <w:tcW w:w="80" w:type="dxa"/>
            <w:vAlign w:val="bottom"/>
            <w:shd w:val="clear" w:color="auto" w:fill="CCEEFF"/>
          </w:tcPr>
          <w:p>
            <w:pPr>
              <w:spacing w:after="0"/>
              <w:rPr>
                <w:sz w:val="13"/>
                <w:szCs w:val="13"/>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Klagenfurt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62,000</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Leased</w:t>
            </w:r>
          </w:p>
        </w:tc>
      </w:tr>
    </w:tbl>
    <w:p>
      <w:pPr>
        <w:spacing w:after="0" w:line="1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2"/>
          <w:szCs w:val="12"/>
          <w:i w:val="1"/>
          <w:iCs w:val="1"/>
          <w:color w:val="auto"/>
        </w:rPr>
        <w:t>Lenartz v. American Superconductor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Corporation, et al. </w:t>
      </w:r>
      <w:r>
        <w:rPr>
          <w:rFonts w:ascii="Arial" w:cs="Arial" w:eastAsia="Arial" w:hAnsi="Arial"/>
          <w:sz w:val="12"/>
          <w:szCs w:val="12"/>
          <w:color w:val="auto"/>
        </w:rPr>
        <w:t>Docket No. 1:11-cv-10582-WGY. On June 16, 2011, the court appointed the law firm Robbins Geller Rudman &amp; Dowd LLP as Lead Counsel and the Plumbers and</w:t>
      </w:r>
      <w:r>
        <w:rPr>
          <w:rFonts w:ascii="Arial" w:cs="Arial" w:eastAsia="Arial" w:hAnsi="Arial"/>
          <w:sz w:val="12"/>
          <w:szCs w:val="12"/>
          <w:i w:val="1"/>
          <w:iCs w:val="1"/>
          <w:color w:val="auto"/>
        </w:rPr>
        <w:t xml:space="preserve"> </w:t>
      </w:r>
      <w:r>
        <w:rPr>
          <w:rFonts w:ascii="Arial" w:cs="Arial" w:eastAsia="Arial" w:hAnsi="Arial"/>
          <w:sz w:val="12"/>
          <w:szCs w:val="12"/>
          <w:color w:val="auto"/>
        </w:rPr>
        <w:t>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60"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2"/>
          <w:szCs w:val="12"/>
          <w:i w:val="1"/>
          <w:iCs w:val="1"/>
          <w:color w:val="auto"/>
        </w:rPr>
        <w:t>Weakley v. Yurek, et al.</w:t>
      </w:r>
      <w:r>
        <w:rPr>
          <w:rFonts w:ascii="Arial" w:cs="Arial" w:eastAsia="Arial" w:hAnsi="Arial"/>
          <w:sz w:val="12"/>
          <w:szCs w:val="12"/>
          <w:color w:val="auto"/>
        </w:rPr>
        <w:t>, Docket No. 1:11-cv-10784;</w:t>
      </w:r>
      <w:r>
        <w:rPr>
          <w:rFonts w:ascii="Arial" w:cs="Arial" w:eastAsia="Arial" w:hAnsi="Arial"/>
          <w:sz w:val="12"/>
          <w:szCs w:val="12"/>
          <w:i w:val="1"/>
          <w:iCs w:val="1"/>
          <w:color w:val="auto"/>
        </w:rPr>
        <w:t xml:space="preserve"> Marlborough Family Revocable Trust v. Yurek, et al.</w:t>
      </w:r>
      <w:r>
        <w:rPr>
          <w:rFonts w:ascii="Arial" w:cs="Arial" w:eastAsia="Arial" w:hAnsi="Arial"/>
          <w:sz w:val="12"/>
          <w:szCs w:val="12"/>
          <w:color w:val="auto"/>
        </w:rPr>
        <w:t>, Docket No. 1:11-cv-10825;</w:t>
      </w:r>
      <w:r>
        <w:rPr>
          <w:rFonts w:ascii="Arial" w:cs="Arial" w:eastAsia="Arial" w:hAnsi="Arial"/>
          <w:sz w:val="12"/>
          <w:szCs w:val="12"/>
          <w:i w:val="1"/>
          <w:iCs w:val="1"/>
          <w:color w:val="auto"/>
        </w:rPr>
        <w:t xml:space="preserve"> Connors v. Yurek, et al.</w:t>
      </w:r>
      <w:r>
        <w:rPr>
          <w:rFonts w:ascii="Arial" w:cs="Arial" w:eastAsia="Arial" w:hAnsi="Arial"/>
          <w:sz w:val="12"/>
          <w:szCs w:val="12"/>
          <w:color w:val="auto"/>
        </w:rPr>
        <w:t>, Docket No. 1:11-cv-10910; and</w:t>
      </w:r>
      <w:r>
        <w:rPr>
          <w:rFonts w:ascii="Arial" w:cs="Arial" w:eastAsia="Arial" w:hAnsi="Arial"/>
          <w:sz w:val="12"/>
          <w:szCs w:val="12"/>
          <w:i w:val="1"/>
          <w:iCs w:val="1"/>
          <w:color w:val="auto"/>
        </w:rPr>
        <w:t xml:space="preserve"> Hurd v. Yurek, et al.</w:t>
      </w:r>
      <w:r>
        <w:rPr>
          <w:rFonts w:ascii="Arial" w:cs="Arial" w:eastAsia="Arial" w:hAnsi="Arial"/>
          <w:sz w:val="12"/>
          <w:szCs w:val="12"/>
          <w:color w:val="auto"/>
        </w:rPr>
        <w:t>, Docket No. 1:11-cv-11102. On June 1, 2011, the plaintiff in</w:t>
      </w:r>
      <w:r>
        <w:rPr>
          <w:rFonts w:ascii="Arial" w:cs="Arial" w:eastAsia="Arial" w:hAnsi="Arial"/>
          <w:sz w:val="12"/>
          <w:szCs w:val="12"/>
          <w:i w:val="1"/>
          <w:iCs w:val="1"/>
          <w:color w:val="auto"/>
        </w:rPr>
        <w:t xml:space="preserve"> Marlborough Family Revocable Trust v. Yurek, et al. </w:t>
      </w:r>
      <w:r>
        <w:rPr>
          <w:rFonts w:ascii="Arial" w:cs="Arial" w:eastAsia="Arial" w:hAnsi="Arial"/>
          <w:sz w:val="12"/>
          <w:szCs w:val="12"/>
          <w:color w:val="auto"/>
        </w:rPr>
        <w:t>moved to voluntarily dismiss its complaint and refiled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its complaint in Superior Court for the Commonwealth of Massachusetts, Middlesex County, on June 3, 2011. The case is now captioned </w:t>
      </w:r>
      <w:r>
        <w:rPr>
          <w:rFonts w:ascii="Arial" w:cs="Arial" w:eastAsia="Arial" w:hAnsi="Arial"/>
          <w:sz w:val="12"/>
          <w:szCs w:val="12"/>
          <w:i w:val="1"/>
          <w:iCs w:val="1"/>
          <w:color w:val="auto"/>
        </w:rPr>
        <w:t>Marlborough Family Revocable Trust v. Yurek, et</w:t>
      </w:r>
      <w:r>
        <w:rPr>
          <w:rFonts w:ascii="Arial" w:cs="Arial" w:eastAsia="Arial" w:hAnsi="Arial"/>
          <w:sz w:val="12"/>
          <w:szCs w:val="12"/>
          <w:color w:val="auto"/>
        </w:rPr>
        <w:t xml:space="preserve"> </w:t>
      </w:r>
      <w:r>
        <w:rPr>
          <w:rFonts w:ascii="Arial" w:cs="Arial" w:eastAsia="Arial" w:hAnsi="Arial"/>
          <w:sz w:val="12"/>
          <w:szCs w:val="12"/>
          <w:i w:val="1"/>
          <w:iCs w:val="1"/>
          <w:color w:val="auto"/>
        </w:rPr>
        <w:t>al.</w:t>
      </w:r>
      <w:r>
        <w:rPr>
          <w:rFonts w:ascii="Arial" w:cs="Arial" w:eastAsia="Arial" w:hAnsi="Arial"/>
          <w:sz w:val="12"/>
          <w:szCs w:val="12"/>
          <w:color w:val="auto"/>
        </w:rPr>
        <w:t>, Docket No. 11-1961. The Superior Court in Worcester County granted the plaintiff’s motion to transfer in</w:t>
      </w:r>
      <w:r>
        <w:rPr>
          <w:rFonts w:ascii="Arial" w:cs="Arial" w:eastAsia="Arial" w:hAnsi="Arial"/>
          <w:sz w:val="12"/>
          <w:szCs w:val="12"/>
          <w:i w:val="1"/>
          <w:iCs w:val="1"/>
          <w:color w:val="auto"/>
        </w:rPr>
        <w:t xml:space="preserve"> Segel v. Yurek et al. </w:t>
      </w:r>
      <w:r>
        <w:rPr>
          <w:rFonts w:ascii="Arial" w:cs="Arial" w:eastAsia="Arial" w:hAnsi="Arial"/>
          <w:sz w:val="12"/>
          <w:szCs w:val="12"/>
          <w:color w:val="auto"/>
        </w:rPr>
        <w:t>to the Superior Court for the Commonwealth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Massachusetts, Middlesex County on June 23, 2011, and that matter is now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11-2269. On July 5, 2011, the </w:t>
      </w:r>
      <w:r>
        <w:rPr>
          <w:rFonts w:ascii="Arial" w:cs="Arial" w:eastAsia="Arial" w:hAnsi="Arial"/>
          <w:sz w:val="12"/>
          <w:szCs w:val="12"/>
          <w:i w:val="1"/>
          <w:iCs w:val="1"/>
          <w:color w:val="auto"/>
        </w:rPr>
        <w:t>Weakley</w:t>
      </w:r>
      <w:r>
        <w:rPr>
          <w:rFonts w:ascii="Arial" w:cs="Arial" w:eastAsia="Arial" w:hAnsi="Arial"/>
          <w:sz w:val="12"/>
          <w:szCs w:val="12"/>
          <w:color w:val="auto"/>
        </w:rPr>
        <w:t xml:space="preserve">, </w:t>
      </w:r>
      <w:r>
        <w:rPr>
          <w:rFonts w:ascii="Arial" w:cs="Arial" w:eastAsia="Arial" w:hAnsi="Arial"/>
          <w:sz w:val="12"/>
          <w:szCs w:val="12"/>
          <w:i w:val="1"/>
          <w:iCs w:val="1"/>
          <w:color w:val="auto"/>
        </w:rPr>
        <w:t>Connors</w:t>
      </w:r>
      <w:r>
        <w:rPr>
          <w:rFonts w:ascii="Arial" w:cs="Arial" w:eastAsia="Arial" w:hAnsi="Arial"/>
          <w:sz w:val="12"/>
          <w:szCs w:val="12"/>
          <w:color w:val="auto"/>
        </w:rPr>
        <w:t xml:space="preserve"> and </w:t>
      </w:r>
      <w:r>
        <w:rPr>
          <w:rFonts w:ascii="Arial" w:cs="Arial" w:eastAsia="Arial" w:hAnsi="Arial"/>
          <w:sz w:val="12"/>
          <w:szCs w:val="12"/>
          <w:i w:val="1"/>
          <w:iCs w:val="1"/>
          <w:color w:val="auto"/>
        </w:rPr>
        <w:t>Hurd</w:t>
      </w:r>
      <w:r>
        <w:rPr>
          <w:rFonts w:ascii="Arial" w:cs="Arial" w:eastAsia="Arial" w:hAnsi="Arial"/>
          <w:sz w:val="12"/>
          <w:szCs w:val="12"/>
          <w:color w:val="auto"/>
        </w:rPr>
        <w:t xml:space="preserve"> actions were consolidated in United States District Court for the District of Massachusetts. That matter is now captioned </w:t>
      </w:r>
      <w:r>
        <w:rPr>
          <w:rFonts w:ascii="Arial" w:cs="Arial" w:eastAsia="Arial" w:hAnsi="Arial"/>
          <w:sz w:val="12"/>
          <w:szCs w:val="12"/>
          <w:i w:val="1"/>
          <w:iCs w:val="1"/>
          <w:color w:val="auto"/>
        </w:rPr>
        <w:t>In re American Superconductor Corporation Derivative Litigation</w:t>
      </w:r>
      <w:r>
        <w:rPr>
          <w:rFonts w:ascii="Arial" w:cs="Arial" w:eastAsia="Arial" w:hAnsi="Arial"/>
          <w:sz w:val="12"/>
          <w:szCs w:val="12"/>
          <w:color w:val="auto"/>
        </w:rPr>
        <w:t xml:space="preserve">, Docket No. 1:11-cv-10784. On June 1, 2011, the plaintiff in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2"/>
          <w:szCs w:val="12"/>
          <w:i w:val="1"/>
          <w:iCs w:val="1"/>
          <w:color w:val="auto"/>
        </w:rPr>
        <w:t>Segel v. Yurek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et al. </w:t>
      </w:r>
      <w:r>
        <w:rPr>
          <w:rFonts w:ascii="Arial" w:cs="Arial" w:eastAsia="Arial" w:hAnsi="Arial"/>
          <w:sz w:val="12"/>
          <w:szCs w:val="12"/>
          <w:color w:val="auto"/>
        </w:rPr>
        <w:t>to the Superior Court for the</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 xml:space="preserve">Commonwealth of Massachusetts, Middlesex County on June 23, 2011. On September 7, 2011, the </w:t>
      </w:r>
      <w:r>
        <w:rPr>
          <w:rFonts w:ascii="Arial" w:cs="Arial" w:eastAsia="Arial" w:hAnsi="Arial"/>
          <w:sz w:val="13"/>
          <w:szCs w:val="13"/>
          <w:i w:val="1"/>
          <w:iCs w:val="1"/>
          <w:color w:val="auto"/>
        </w:rPr>
        <w:t>Marlborough</w:t>
      </w:r>
      <w:r>
        <w:rPr>
          <w:rFonts w:ascii="Arial" w:cs="Arial" w:eastAsia="Arial" w:hAnsi="Arial"/>
          <w:sz w:val="13"/>
          <w:szCs w:val="13"/>
          <w:color w:val="auto"/>
        </w:rPr>
        <w:t xml:space="preserve"> and </w:t>
      </w:r>
      <w:r>
        <w:rPr>
          <w:rFonts w:ascii="Arial" w:cs="Arial" w:eastAsia="Arial" w:hAnsi="Arial"/>
          <w:sz w:val="13"/>
          <w:szCs w:val="13"/>
          <w:i w:val="1"/>
          <w:iCs w:val="1"/>
          <w:color w:val="auto"/>
        </w:rPr>
        <w:t>Segel</w:t>
      </w:r>
      <w:r>
        <w:rPr>
          <w:rFonts w:ascii="Arial" w:cs="Arial" w:eastAsia="Arial" w:hAnsi="Arial"/>
          <w:sz w:val="13"/>
          <w:szCs w:val="13"/>
          <w:color w:val="auto"/>
        </w:rPr>
        <w:t xml:space="preserve"> actions were consolidated in Superior Court for the Commonwealth of Massachusetts, Middlesex County. The case is now captioned </w:t>
      </w:r>
      <w:r>
        <w:rPr>
          <w:rFonts w:ascii="Arial" w:cs="Arial" w:eastAsia="Arial" w:hAnsi="Arial"/>
          <w:sz w:val="13"/>
          <w:szCs w:val="13"/>
          <w:i w:val="1"/>
          <w:iCs w:val="1"/>
          <w:color w:val="auto"/>
        </w:rPr>
        <w:t>Marlborough Family Revocable Trust v. Yurek, et al.</w:t>
      </w:r>
      <w:r>
        <w:rPr>
          <w:rFonts w:ascii="Arial" w:cs="Arial" w:eastAsia="Arial" w:hAnsi="Arial"/>
          <w:sz w:val="13"/>
          <w:szCs w:val="13"/>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71"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72"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On September 13, 2011, we commenced a series of legal actions in China against Sinovel Wind Group Co. Ltd. (“Sinovel”). Our Chinese subsidiary, Suzhou AMSC Superconductor Co. Ltd. (“AMSC China”), filed a claim for arbitration with the Beijing Arbitration Commission in accordance with the terms of our supply contracts with Sinovel.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due to Sinovel’s breaches of our contracts. We are also seeking specific performance of our existing contracts as well as reimbursement of all costs and reasonable expenses with respect to the arbitration.</w:t>
      </w:r>
    </w:p>
    <w:p>
      <w:pPr>
        <w:spacing w:after="0" w:line="73"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We also submitted a civil action application to the Beijing No. 1 Intermediate People’s Court against Sinovel for software copyright infringement.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and is currently awaiting trial on charges of economic espionage and fraudulent manipulation of data.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for our economic losses and reimbursement of all costs and reasonable expenses. The court must accept the application in order for the case to proceed, and there can be no assurance that the court will do so.</w:t>
      </w:r>
    </w:p>
    <w:p>
      <w:pPr>
        <w:spacing w:after="0" w:line="6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submitted a civil action application to the Beijing Higher People’s Court against Sinovel and certain of its employees for trade secret infringement. The application alleges the defendants’ unauthorized use of portions of our wind turbine control software source code developed for Sinovel’s 1.5MW wind turbines as described above with respect to the Copyright Action. We are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316" w:lineRule="auto"/>
        <w:rPr>
          <w:sz w:val="20"/>
          <w:szCs w:val="20"/>
          <w:color w:val="auto"/>
        </w:rPr>
      </w:pPr>
      <w:r>
        <w:rPr>
          <w:rFonts w:ascii="Arial" w:cs="Arial" w:eastAsia="Arial" w:hAnsi="Arial"/>
          <w:sz w:val="11"/>
          <w:szCs w:val="11"/>
          <w:color w:val="auto"/>
        </w:rPr>
        <w:t>On September 16, 2011, we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for our economic losses (with respect to Guotong only) and reimbursement of all costs and reasonable expenses.</w:t>
      </w:r>
    </w:p>
    <w:p>
      <w:pPr>
        <w:spacing w:after="0" w:line="11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7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Market Information</w:t>
      </w:r>
    </w:p>
    <w:p>
      <w:pPr>
        <w:spacing w:after="0" w:line="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common stock has been listed on the NASDAQ Global Select Market under the symbol “AMSC” since 1991. The following table sets forth the high and low sales price per share of our common stock as reported on the NASDAQ Global Select Market for the two most recent fiscal years:</w:t>
      </w:r>
    </w:p>
    <w:p>
      <w:pPr>
        <w:spacing w:after="0" w:line="61" w:lineRule="exact"/>
        <w:rPr>
          <w:sz w:val="20"/>
          <w:szCs w:val="20"/>
          <w:color w:val="auto"/>
        </w:rPr>
      </w:pPr>
    </w:p>
    <w:p>
      <w:pPr>
        <w:jc w:val="center"/>
        <w:ind w:left="8200"/>
        <w:spacing w:after="0"/>
        <w:rPr>
          <w:sz w:val="20"/>
          <w:szCs w:val="20"/>
          <w:color w:val="auto"/>
        </w:rPr>
      </w:pPr>
      <w:r>
        <w:rPr>
          <w:rFonts w:ascii="Arial" w:cs="Arial" w:eastAsia="Arial" w:hAnsi="Arial"/>
          <w:sz w:val="10"/>
          <w:szCs w:val="10"/>
          <w:b w:val="1"/>
          <w:bCs w:val="1"/>
          <w:color w:val="auto"/>
        </w:rPr>
        <w:t>Common Stock</w:t>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0"/>
          <w:szCs w:val="10"/>
          <w:b w:val="1"/>
          <w:bCs w:val="1"/>
          <w:color w:val="auto"/>
        </w:rPr>
        <w:t>Price</w:t>
      </w:r>
    </w:p>
    <w:tbl>
      <w:tblPr>
        <w:tblLayout w:type="fixed"/>
        <w:tblInd w:w="680" w:type="dxa"/>
        <w:tblCellMar>
          <w:top w:w="0" w:type="dxa"/>
          <w:left w:w="0" w:type="dxa"/>
          <w:bottom w:w="0" w:type="dxa"/>
          <w:right w:w="0" w:type="dxa"/>
        </w:tblCellMar>
      </w:tblPr>
      <w:tr>
        <w:trPr>
          <w:trHeight w:val="98"/>
        </w:trPr>
        <w:tc>
          <w:tcPr>
            <w:tcW w:w="8320" w:type="dxa"/>
            <w:vAlign w:val="bottom"/>
          </w:tcPr>
          <w:p>
            <w:pPr>
              <w:spacing w:after="0"/>
              <w:rPr>
                <w:sz w:val="8"/>
                <w:szCs w:val="8"/>
                <w:color w:val="auto"/>
              </w:rPr>
            </w:pPr>
          </w:p>
        </w:tc>
        <w:tc>
          <w:tcPr>
            <w:tcW w:w="70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High</w:t>
            </w: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ended March 31, 2011:</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First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$34.21</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$24.35</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33.10</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25.59</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Third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38.88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27.41</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30.42</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21.70</w:t>
            </w:r>
          </w:p>
        </w:tc>
      </w:tr>
      <w:tr>
        <w:trPr>
          <w:trHeight w:val="157"/>
        </w:trPr>
        <w:tc>
          <w:tcPr>
            <w:tcW w:w="8320" w:type="dxa"/>
            <w:vAlign w:val="bottom"/>
          </w:tcPr>
          <w:p>
            <w:pPr>
              <w:spacing w:after="0"/>
              <w:rPr>
                <w:sz w:val="20"/>
                <w:szCs w:val="20"/>
                <w:color w:val="auto"/>
              </w:rPr>
            </w:pPr>
            <w:r>
              <w:rPr>
                <w:rFonts w:ascii="Arial" w:cs="Arial" w:eastAsia="Arial" w:hAnsi="Arial"/>
                <w:sz w:val="13"/>
                <w:szCs w:val="13"/>
                <w:b w:val="1"/>
                <w:bCs w:val="1"/>
                <w:color w:val="auto"/>
              </w:rPr>
              <w:t>Fiscal year ended March 31, 2010:</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$30.25</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$16.99</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Second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37.58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21.31</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43.41</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28.76</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43.95</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25.13</w:t>
            </w:r>
          </w:p>
        </w:tc>
      </w:tr>
    </w:tbl>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After we announced on April 5, 2011 that our largest customer, Sinovel, had refused shipments on March 31, 2011, our stock price dropped significantly. During the three months ended June 30, 2011, the high and low sales price per share of our common stock was $25.19 and $7.40,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holders of record of our common stock on September 15, 2011 was 431.</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The following graph compares the cumulative total stockholder return on our common stock from March 31, 2006 to March 31, 2011 with the cumulative total return of (i) the Russell 2000 Index and (ii) the S&amp;P 500 Index. This graph assumes the investment of $100.00 on March 31, 2006 in our common stock, the Russell 2000 Index and the S&amp;P 500 Index, and assumes any dividends are reinvested. Measurement points are March 31, 2007; March 31, 2008; March 31, 2009; March 31, 2010; and March 31, 2011.</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Among American Superconductor Corporation, the Russell 2000 Index</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62230</wp:posOffset>
            </wp:positionV>
            <wp:extent cx="3020695" cy="167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2069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40" w:type="dxa"/>
            <w:vAlign w:val="bottom"/>
          </w:tcPr>
          <w:p>
            <w:pPr>
              <w:ind w:left="680"/>
              <w:spacing w:after="0"/>
              <w:rPr>
                <w:sz w:val="20"/>
                <w:szCs w:val="20"/>
                <w:color w:val="auto"/>
              </w:rPr>
            </w:pPr>
            <w:r>
              <w:rPr>
                <w:rFonts w:ascii="Arial" w:cs="Arial" w:eastAsia="Arial" w:hAnsi="Arial"/>
                <w:sz w:val="10"/>
                <w:szCs w:val="10"/>
                <w:b w:val="1"/>
                <w:bCs w:val="1"/>
                <w:color w:val="auto"/>
              </w:rPr>
              <w:t>Company/Index</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3/31/2006</w:t>
            </w:r>
          </w:p>
        </w:tc>
        <w:tc>
          <w:tcPr>
            <w:tcW w:w="240" w:type="dxa"/>
            <w:vAlign w:val="bottom"/>
          </w:tcPr>
          <w:p>
            <w:pPr>
              <w:spacing w:after="0"/>
              <w:rPr>
                <w:sz w:val="11"/>
                <w:szCs w:val="11"/>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3/31/2007</w:t>
            </w:r>
          </w:p>
        </w:tc>
        <w:tc>
          <w:tcPr>
            <w:tcW w:w="240" w:type="dxa"/>
            <w:vAlign w:val="bottom"/>
          </w:tcPr>
          <w:p>
            <w:pPr>
              <w:spacing w:after="0"/>
              <w:rPr>
                <w:sz w:val="11"/>
                <w:szCs w:val="11"/>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3/31/2008</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3/31/2009</w:t>
            </w:r>
          </w:p>
        </w:tc>
        <w:tc>
          <w:tcPr>
            <w:tcW w:w="260" w:type="dxa"/>
            <w:vAlign w:val="bottom"/>
          </w:tcPr>
          <w:p>
            <w:pPr>
              <w:spacing w:after="0"/>
              <w:rPr>
                <w:sz w:val="11"/>
                <w:szCs w:val="11"/>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3/31/2010</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3/31/2011</w:t>
            </w:r>
          </w:p>
        </w:tc>
        <w:tc>
          <w:tcPr>
            <w:tcW w:w="800" w:type="dxa"/>
            <w:vAlign w:val="bottom"/>
          </w:tcPr>
          <w:p>
            <w:pPr>
              <w:spacing w:after="0"/>
              <w:rPr>
                <w:sz w:val="11"/>
                <w:szCs w:val="11"/>
                <w:color w:val="auto"/>
              </w:rPr>
            </w:pPr>
          </w:p>
        </w:tc>
      </w:tr>
      <w:tr>
        <w:trPr>
          <w:trHeight w:val="178"/>
        </w:trPr>
        <w:tc>
          <w:tcPr>
            <w:tcW w:w="4340" w:type="dxa"/>
            <w:vAlign w:val="bottom"/>
          </w:tcPr>
          <w:p>
            <w:pPr>
              <w:ind w:left="680"/>
              <w:spacing w:after="0"/>
              <w:rPr>
                <w:sz w:val="20"/>
                <w:szCs w:val="20"/>
                <w:color w:val="auto"/>
              </w:rPr>
            </w:pPr>
            <w:r>
              <w:rPr>
                <w:rFonts w:ascii="Arial" w:cs="Arial" w:eastAsia="Arial" w:hAnsi="Arial"/>
                <w:sz w:val="13"/>
                <w:szCs w:val="13"/>
                <w:color w:val="auto"/>
              </w:rPr>
              <w:t>American Superconductor Corporation</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100</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118.68</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204.32</w:t>
            </w:r>
          </w:p>
        </w:tc>
        <w:tc>
          <w:tcPr>
            <w:tcW w:w="1120" w:type="dxa"/>
            <w:vAlign w:val="bottom"/>
            <w:gridSpan w:val="2"/>
          </w:tcPr>
          <w:p>
            <w:pPr>
              <w:jc w:val="right"/>
              <w:ind w:right="208"/>
              <w:spacing w:after="0"/>
              <w:rPr>
                <w:sz w:val="20"/>
                <w:szCs w:val="20"/>
                <w:color w:val="auto"/>
              </w:rPr>
            </w:pPr>
            <w:r>
              <w:rPr>
                <w:rFonts w:ascii="Arial" w:cs="Arial" w:eastAsia="Arial" w:hAnsi="Arial"/>
                <w:sz w:val="13"/>
                <w:szCs w:val="13"/>
                <w:color w:val="auto"/>
              </w:rPr>
              <w:t>152.51</w:t>
            </w:r>
          </w:p>
        </w:tc>
        <w:tc>
          <w:tcPr>
            <w:tcW w:w="1140" w:type="dxa"/>
            <w:vAlign w:val="bottom"/>
            <w:gridSpan w:val="2"/>
          </w:tcPr>
          <w:p>
            <w:pPr>
              <w:jc w:val="right"/>
              <w:ind w:right="208"/>
              <w:spacing w:after="0"/>
              <w:rPr>
                <w:sz w:val="20"/>
                <w:szCs w:val="20"/>
                <w:color w:val="auto"/>
              </w:rPr>
            </w:pPr>
            <w:r>
              <w:rPr>
                <w:rFonts w:ascii="Arial" w:cs="Arial" w:eastAsia="Arial" w:hAnsi="Arial"/>
                <w:sz w:val="13"/>
                <w:szCs w:val="13"/>
                <w:color w:val="auto"/>
              </w:rPr>
              <w:t>254.63</w:t>
            </w:r>
          </w:p>
        </w:tc>
        <w:tc>
          <w:tcPr>
            <w:tcW w:w="1120" w:type="dxa"/>
            <w:vAlign w:val="bottom"/>
            <w:gridSpan w:val="2"/>
          </w:tcPr>
          <w:p>
            <w:pPr>
              <w:jc w:val="center"/>
              <w:ind w:left="174"/>
              <w:spacing w:after="0"/>
              <w:rPr>
                <w:sz w:val="20"/>
                <w:szCs w:val="20"/>
                <w:color w:val="auto"/>
              </w:rPr>
            </w:pPr>
            <w:r>
              <w:rPr>
                <w:rFonts w:ascii="Arial" w:cs="Arial" w:eastAsia="Arial" w:hAnsi="Arial"/>
                <w:sz w:val="13"/>
                <w:szCs w:val="13"/>
                <w:color w:val="auto"/>
                <w:w w:val="90"/>
              </w:rPr>
              <w:t>219.12</w:t>
            </w:r>
          </w:p>
        </w:tc>
        <w:tc>
          <w:tcPr>
            <w:tcW w:w="800" w:type="dxa"/>
            <w:vAlign w:val="bottom"/>
          </w:tcPr>
          <w:p>
            <w:pPr>
              <w:spacing w:after="0"/>
              <w:rPr>
                <w:sz w:val="15"/>
                <w:szCs w:val="15"/>
                <w:color w:val="auto"/>
              </w:rPr>
            </w:pPr>
          </w:p>
        </w:tc>
      </w:tr>
      <w:tr>
        <w:trPr>
          <w:trHeight w:val="157"/>
        </w:trPr>
        <w:tc>
          <w:tcPr>
            <w:tcW w:w="4340" w:type="dxa"/>
            <w:vAlign w:val="bottom"/>
          </w:tcPr>
          <w:p>
            <w:pPr>
              <w:ind w:left="680"/>
              <w:spacing w:after="0"/>
              <w:rPr>
                <w:sz w:val="20"/>
                <w:szCs w:val="20"/>
                <w:color w:val="auto"/>
              </w:rPr>
            </w:pPr>
            <w:r>
              <w:rPr>
                <w:rFonts w:ascii="Arial" w:cs="Arial" w:eastAsia="Arial" w:hAnsi="Arial"/>
                <w:sz w:val="13"/>
                <w:szCs w:val="13"/>
                <w:color w:val="auto"/>
              </w:rPr>
              <w:t>Russell 2000 Index</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100</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105.91</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92.14</w:t>
            </w:r>
          </w:p>
        </w:tc>
        <w:tc>
          <w:tcPr>
            <w:tcW w:w="1120" w:type="dxa"/>
            <w:vAlign w:val="bottom"/>
            <w:gridSpan w:val="2"/>
          </w:tcPr>
          <w:p>
            <w:pPr>
              <w:jc w:val="right"/>
              <w:ind w:right="208"/>
              <w:spacing w:after="0"/>
              <w:rPr>
                <w:sz w:val="20"/>
                <w:szCs w:val="20"/>
                <w:color w:val="auto"/>
              </w:rPr>
            </w:pPr>
            <w:r>
              <w:rPr>
                <w:rFonts w:ascii="Arial" w:cs="Arial" w:eastAsia="Arial" w:hAnsi="Arial"/>
                <w:sz w:val="13"/>
                <w:szCs w:val="13"/>
                <w:color w:val="auto"/>
              </w:rPr>
              <w:t>57.58</w:t>
            </w:r>
          </w:p>
        </w:tc>
        <w:tc>
          <w:tcPr>
            <w:tcW w:w="1140" w:type="dxa"/>
            <w:vAlign w:val="bottom"/>
            <w:gridSpan w:val="2"/>
          </w:tcPr>
          <w:p>
            <w:pPr>
              <w:jc w:val="right"/>
              <w:ind w:right="208"/>
              <w:spacing w:after="0"/>
              <w:rPr>
                <w:sz w:val="20"/>
                <w:szCs w:val="20"/>
                <w:color w:val="auto"/>
              </w:rPr>
            </w:pPr>
            <w:r>
              <w:rPr>
                <w:rFonts w:ascii="Arial" w:cs="Arial" w:eastAsia="Arial" w:hAnsi="Arial"/>
                <w:sz w:val="13"/>
                <w:szCs w:val="13"/>
                <w:color w:val="auto"/>
              </w:rPr>
              <w:t>254.63</w:t>
            </w:r>
          </w:p>
        </w:tc>
        <w:tc>
          <w:tcPr>
            <w:tcW w:w="1120" w:type="dxa"/>
            <w:vAlign w:val="bottom"/>
            <w:gridSpan w:val="2"/>
          </w:tcPr>
          <w:p>
            <w:pPr>
              <w:jc w:val="center"/>
              <w:ind w:left="194"/>
              <w:spacing w:after="0"/>
              <w:rPr>
                <w:sz w:val="20"/>
                <w:szCs w:val="20"/>
                <w:color w:val="auto"/>
              </w:rPr>
            </w:pPr>
            <w:r>
              <w:rPr>
                <w:rFonts w:ascii="Arial" w:cs="Arial" w:eastAsia="Arial" w:hAnsi="Arial"/>
                <w:sz w:val="13"/>
                <w:szCs w:val="13"/>
                <w:color w:val="auto"/>
                <w:w w:val="85"/>
              </w:rPr>
              <w:t>117.90</w:t>
            </w:r>
          </w:p>
        </w:tc>
        <w:tc>
          <w:tcPr>
            <w:tcW w:w="800" w:type="dxa"/>
            <w:vAlign w:val="bottom"/>
          </w:tcPr>
          <w:p>
            <w:pPr>
              <w:spacing w:after="0"/>
              <w:rPr>
                <w:sz w:val="13"/>
                <w:szCs w:val="13"/>
                <w:color w:val="auto"/>
              </w:rPr>
            </w:pPr>
          </w:p>
        </w:tc>
      </w:tr>
      <w:tr>
        <w:trPr>
          <w:trHeight w:val="165"/>
        </w:trPr>
        <w:tc>
          <w:tcPr>
            <w:tcW w:w="4340" w:type="dxa"/>
            <w:vAlign w:val="bottom"/>
          </w:tcPr>
          <w:p>
            <w:pPr>
              <w:ind w:left="680"/>
              <w:spacing w:after="0"/>
              <w:rPr>
                <w:sz w:val="20"/>
                <w:szCs w:val="20"/>
                <w:color w:val="auto"/>
              </w:rPr>
            </w:pPr>
            <w:r>
              <w:rPr>
                <w:rFonts w:ascii="Arial" w:cs="Arial" w:eastAsia="Arial" w:hAnsi="Arial"/>
                <w:sz w:val="13"/>
                <w:szCs w:val="13"/>
                <w:color w:val="auto"/>
              </w:rPr>
              <w:t>S&amp;P 500 Index</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100</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111.83</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106.15</w:t>
            </w:r>
          </w:p>
        </w:tc>
        <w:tc>
          <w:tcPr>
            <w:tcW w:w="1120" w:type="dxa"/>
            <w:vAlign w:val="bottom"/>
            <w:gridSpan w:val="2"/>
          </w:tcPr>
          <w:p>
            <w:pPr>
              <w:jc w:val="right"/>
              <w:ind w:right="208"/>
              <w:spacing w:after="0"/>
              <w:rPr>
                <w:sz w:val="20"/>
                <w:szCs w:val="20"/>
                <w:color w:val="auto"/>
              </w:rPr>
            </w:pPr>
            <w:r>
              <w:rPr>
                <w:rFonts w:ascii="Arial" w:cs="Arial" w:eastAsia="Arial" w:hAnsi="Arial"/>
                <w:sz w:val="13"/>
                <w:szCs w:val="13"/>
                <w:color w:val="auto"/>
              </w:rPr>
              <w:t>65.72</w:t>
            </w:r>
          </w:p>
        </w:tc>
        <w:tc>
          <w:tcPr>
            <w:tcW w:w="1140" w:type="dxa"/>
            <w:vAlign w:val="bottom"/>
            <w:gridSpan w:val="2"/>
          </w:tcPr>
          <w:p>
            <w:pPr>
              <w:jc w:val="right"/>
              <w:ind w:right="208"/>
              <w:spacing w:after="0"/>
              <w:rPr>
                <w:sz w:val="20"/>
                <w:szCs w:val="20"/>
                <w:color w:val="auto"/>
              </w:rPr>
            </w:pPr>
            <w:r>
              <w:rPr>
                <w:rFonts w:ascii="Arial" w:cs="Arial" w:eastAsia="Arial" w:hAnsi="Arial"/>
                <w:sz w:val="13"/>
                <w:szCs w:val="13"/>
                <w:color w:val="auto"/>
              </w:rPr>
              <w:t>98.43</w:t>
            </w:r>
          </w:p>
        </w:tc>
        <w:tc>
          <w:tcPr>
            <w:tcW w:w="1120" w:type="dxa"/>
            <w:vAlign w:val="bottom"/>
            <w:gridSpan w:val="2"/>
          </w:tcPr>
          <w:p>
            <w:pPr>
              <w:jc w:val="center"/>
              <w:ind w:left="194"/>
              <w:spacing w:after="0"/>
              <w:rPr>
                <w:sz w:val="20"/>
                <w:szCs w:val="20"/>
                <w:color w:val="auto"/>
              </w:rPr>
            </w:pPr>
            <w:r>
              <w:rPr>
                <w:rFonts w:ascii="Arial" w:cs="Arial" w:eastAsia="Arial" w:hAnsi="Arial"/>
                <w:sz w:val="13"/>
                <w:szCs w:val="13"/>
                <w:color w:val="auto"/>
                <w:w w:val="85"/>
              </w:rPr>
              <w:t>113.83</w:t>
            </w:r>
          </w:p>
        </w:tc>
        <w:tc>
          <w:tcPr>
            <w:tcW w:w="800" w:type="dxa"/>
            <w:vAlign w:val="bottom"/>
          </w:tcPr>
          <w:p>
            <w:pPr>
              <w:spacing w:after="0"/>
              <w:rPr>
                <w:sz w:val="14"/>
                <w:szCs w:val="14"/>
                <w:color w:val="auto"/>
              </w:rPr>
            </w:pPr>
          </w:p>
        </w:tc>
      </w:tr>
      <w:tr>
        <w:trPr>
          <w:trHeight w:val="452"/>
        </w:trPr>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43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-732790</wp:posOffset>
            </wp:positionV>
            <wp:extent cx="2476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following selected financial data reflects the results of operations and balance sheet data for the fiscal years ended March 31, 2007 to 2011.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6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Fiscal Year Ended March 31,</w:t>
            </w: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98"/>
        </w:trPr>
        <w:tc>
          <w:tcPr>
            <w:tcW w:w="4660" w:type="dxa"/>
            <w:vAlign w:val="bottom"/>
          </w:tcPr>
          <w:p>
            <w:pPr>
              <w:spacing w:after="0"/>
              <w:rPr>
                <w:sz w:val="8"/>
                <w:szCs w:val="8"/>
                <w:color w:val="auto"/>
              </w:rPr>
            </w:pPr>
          </w:p>
        </w:tc>
        <w:tc>
          <w:tcPr>
            <w:tcW w:w="960" w:type="dxa"/>
            <w:vAlign w:val="bottom"/>
            <w:tcBorders>
              <w:bottom w:val="single" w:sz="8" w:color="auto"/>
            </w:tcBorders>
          </w:tcPr>
          <w:p>
            <w:pPr>
              <w:jc w:val="right"/>
              <w:ind w:right="316"/>
              <w:spacing w:after="0" w:line="98" w:lineRule="exact"/>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8"/>
                <w:szCs w:val="8"/>
                <w:color w:val="auto"/>
              </w:rPr>
            </w:pPr>
          </w:p>
        </w:tc>
        <w:tc>
          <w:tcPr>
            <w:tcW w:w="700" w:type="dxa"/>
            <w:vAlign w:val="bottom"/>
            <w:tcBorders>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2010</w:t>
            </w: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296"/>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2007</w:t>
            </w:r>
          </w:p>
        </w:tc>
      </w:tr>
      <w:tr>
        <w:trPr>
          <w:trHeight w:val="131"/>
        </w:trPr>
        <w:tc>
          <w:tcPr>
            <w:tcW w:w="4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(In</w:t>
            </w:r>
          </w:p>
        </w:tc>
        <w:tc>
          <w:tcPr>
            <w:tcW w:w="1420" w:type="dxa"/>
            <w:vAlign w:val="bottom"/>
            <w:gridSpan w:val="4"/>
          </w:tcPr>
          <w:p>
            <w:pPr>
              <w:spacing w:after="0"/>
              <w:rPr>
                <w:sz w:val="20"/>
                <w:szCs w:val="20"/>
                <w:color w:val="auto"/>
              </w:rPr>
            </w:pPr>
            <w:r>
              <w:rPr>
                <w:rFonts w:ascii="Arial" w:cs="Arial" w:eastAsia="Arial" w:hAnsi="Arial"/>
                <w:sz w:val="10"/>
                <w:szCs w:val="10"/>
                <w:b w:val="1"/>
                <w:bCs w:val="1"/>
                <w:color w:val="auto"/>
                <w:w w:val="86"/>
              </w:rPr>
              <w:t>thousands, except per share data)</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3"/>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$ 286,603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$315,955</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$182,755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8"/>
              </w:rPr>
              <w:t>$112,396</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$ 52,183</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Net (loss) income</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(186,284)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16,248</w:t>
            </w:r>
          </w:p>
        </w:tc>
        <w:tc>
          <w:tcPr>
            <w:tcW w:w="1320" w:type="dxa"/>
            <w:vAlign w:val="bottom"/>
            <w:gridSpan w:val="3"/>
          </w:tcPr>
          <w:p>
            <w:pPr>
              <w:jc w:val="right"/>
              <w:ind w:right="148"/>
              <w:spacing w:after="0"/>
              <w:rPr>
                <w:sz w:val="20"/>
                <w:szCs w:val="20"/>
                <w:color w:val="auto"/>
              </w:rPr>
            </w:pPr>
            <w:r>
              <w:rPr>
                <w:rFonts w:ascii="Arial" w:cs="Arial" w:eastAsia="Arial" w:hAnsi="Arial"/>
                <w:sz w:val="13"/>
                <w:szCs w:val="13"/>
                <w:color w:val="auto"/>
              </w:rPr>
              <w:t>(16,635)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(25,447)</w:t>
            </w:r>
          </w:p>
        </w:tc>
        <w:tc>
          <w:tcPr>
            <w:tcW w:w="1080" w:type="dxa"/>
            <w:vAlign w:val="bottom"/>
            <w:gridSpan w:val="2"/>
          </w:tcPr>
          <w:p>
            <w:pPr>
              <w:jc w:val="right"/>
              <w:ind w:right="148"/>
              <w:spacing w:after="0"/>
              <w:rPr>
                <w:sz w:val="20"/>
                <w:szCs w:val="20"/>
                <w:color w:val="auto"/>
              </w:rPr>
            </w:pPr>
            <w:r>
              <w:rPr>
                <w:rFonts w:ascii="Arial" w:cs="Arial" w:eastAsia="Arial" w:hAnsi="Arial"/>
                <w:sz w:val="13"/>
                <w:szCs w:val="13"/>
                <w:color w:val="auto"/>
              </w:rPr>
              <w:t>(34,675)</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Net (loss) income per common share — basic</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3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(0.39)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(0.65)</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(1.04)</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Net (loss) income per common share — diluted</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(3.95)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0.36</w:t>
            </w:r>
          </w:p>
        </w:tc>
        <w:tc>
          <w:tcPr>
            <w:tcW w:w="1320" w:type="dxa"/>
            <w:vAlign w:val="bottom"/>
            <w:gridSpan w:val="3"/>
          </w:tcPr>
          <w:p>
            <w:pPr>
              <w:jc w:val="right"/>
              <w:ind w:right="148"/>
              <w:spacing w:after="0"/>
              <w:rPr>
                <w:sz w:val="20"/>
                <w:szCs w:val="20"/>
                <w:color w:val="auto"/>
              </w:rPr>
            </w:pPr>
            <w:r>
              <w:rPr>
                <w:rFonts w:ascii="Arial" w:cs="Arial" w:eastAsia="Arial" w:hAnsi="Arial"/>
                <w:sz w:val="13"/>
                <w:szCs w:val="13"/>
                <w:color w:val="auto"/>
              </w:rPr>
              <w:t>(0.39)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(0.65)</w:t>
            </w:r>
          </w:p>
        </w:tc>
        <w:tc>
          <w:tcPr>
            <w:tcW w:w="1080" w:type="dxa"/>
            <w:vAlign w:val="bottom"/>
            <w:gridSpan w:val="2"/>
          </w:tcPr>
          <w:p>
            <w:pPr>
              <w:jc w:val="right"/>
              <w:ind w:right="148"/>
              <w:spacing w:after="0"/>
              <w:rPr>
                <w:sz w:val="20"/>
                <w:szCs w:val="20"/>
                <w:color w:val="auto"/>
              </w:rPr>
            </w:pPr>
            <w:r>
              <w:rPr>
                <w:rFonts w:ascii="Arial" w:cs="Arial" w:eastAsia="Arial" w:hAnsi="Arial"/>
                <w:sz w:val="13"/>
                <w:szCs w:val="13"/>
                <w:color w:val="auto"/>
              </w:rPr>
              <w:t>(1.04)</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441,209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400,184</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309,106</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261,234</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132,433</w:t>
            </w: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Working capital</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174,625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158,234</w:t>
            </w:r>
          </w:p>
        </w:tc>
        <w:tc>
          <w:tcPr>
            <w:tcW w:w="1320" w:type="dxa"/>
            <w:vAlign w:val="bottom"/>
            <w:gridSpan w:val="3"/>
          </w:tcPr>
          <w:p>
            <w:pPr>
              <w:jc w:val="right"/>
              <w:ind w:right="188"/>
              <w:spacing w:after="0"/>
              <w:rPr>
                <w:sz w:val="20"/>
                <w:szCs w:val="20"/>
                <w:color w:val="auto"/>
              </w:rPr>
            </w:pPr>
            <w:r>
              <w:rPr>
                <w:rFonts w:ascii="Arial" w:cs="Arial" w:eastAsia="Arial" w:hAnsi="Arial"/>
                <w:sz w:val="13"/>
                <w:szCs w:val="13"/>
                <w:color w:val="auto"/>
              </w:rPr>
              <w:t>131,187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124,334</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34,942</w:t>
            </w: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marketable securities and restricted cash</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245,475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155,118</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117,207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119,404</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35,324</w:t>
            </w: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Stockholders’ equity</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292,855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280,965</w:t>
            </w:r>
          </w:p>
        </w:tc>
        <w:tc>
          <w:tcPr>
            <w:tcW w:w="1320" w:type="dxa"/>
            <w:vAlign w:val="bottom"/>
            <w:gridSpan w:val="3"/>
          </w:tcPr>
          <w:p>
            <w:pPr>
              <w:jc w:val="right"/>
              <w:ind w:right="188"/>
              <w:spacing w:after="0"/>
              <w:rPr>
                <w:sz w:val="20"/>
                <w:szCs w:val="20"/>
                <w:color w:val="auto"/>
              </w:rPr>
            </w:pPr>
            <w:r>
              <w:rPr>
                <w:rFonts w:ascii="Arial" w:cs="Arial" w:eastAsia="Arial" w:hAnsi="Arial"/>
                <w:sz w:val="13"/>
                <w:szCs w:val="13"/>
                <w:color w:val="auto"/>
              </w:rPr>
              <w:t>221,861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208,452</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101,621</w:t>
            </w:r>
          </w:p>
        </w:tc>
      </w:tr>
    </w:tbl>
    <w:p>
      <w:pPr>
        <w:spacing w:after="0" w:line="72"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Net loss for the fiscal year ended March 31, 2011 was primarily attributable to events surroundings our largest customer, Sinovel, a manufacturer of wind energy systems in China. Sinovel refused to accept scheduled shipments on March 31, 2011. This action, combined with aged outstanding receivables from Sinovel and other Chinese customers prompted management to review whether revenue was properly recorded in prior periods. As a result of this review, accounting errors were identified that affected the Company’s reported results for the quarters ended September 30, 2010 and December 31, 2010. In addition, fourth quarter fiscal 2010 results were negatively impacted by a judgment that the customer relationship with Sinovel would no longer continue, which impacted the valuation of assets, including inventory and goodwill, as well as the accrual of losses on adverse purchase commitments associated with the purchase of materials to support the manufacture of product for Sinovel. See Item 7, “Management’s Discussion and Analysis of Financial Condition and Results of Operations,” for further discussion of the Sinovel customer relationship and the accounting errors and their impact to the consolidated financial statements.</w:t>
      </w:r>
    </w:p>
    <w:p>
      <w:pPr>
        <w:spacing w:after="0" w:line="58"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Working capital for the fiscal year ended March 31, 2011 included the November 2010 issuance of 4,600,000 shares of common stock at a price of $35.50 per share in a public equity offering, which resulted in net proceeds to the Company of approximately $155.2 million, after deducting the underwriting costs and offering expenses of $8.1 million.</w:t>
      </w:r>
    </w:p>
    <w:p>
      <w:pPr>
        <w:spacing w:after="0" w:line="35"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Also included in the net loss for the fiscal year ended March 31, 2011 was $13.4 million in employee stock-based compensation expense. Net income for the fiscal year ended March 31, 2010 included $13.5 million in employee stock-based compensation expense and a $0.5 million charge primarily for restructuring related to our decision to consolidate our Massachusetts operations into one facility in Devens, Massachusetts. Net loss for the fiscal year ended March 31, 2009 included $9.7 million in employee stock-based compensation expense and a $1.0 million charge primarily for restructuring related to our decision to consolidate our Massachusetts operations into one facility in Devens, Massachusetts. Net loss for the fiscal year ended March 31, 2008 included $5.7 million in employee stock-based compensation expense, a $6.7 million charge for restructuring and $0.8 million in long-lived asset impairments. Net loss for the fiscal year ended March 31, 2007 included $3.7 million in employee stock-based compensation expense and a $0.7 million charge for restructuring and long-lived asset impairments related to our decision to re-align the AMSC Wires and AMSC SuperMachines business units into the newly formed AMSC Superconductors business unit.</w:t>
      </w:r>
    </w:p>
    <w:p>
      <w:pPr>
        <w:spacing w:after="0" w:line="5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On January 5, 2007, we acquired Windtec Consulting GmbH, a corporation organized under the laws of Austria, which was renamed AMSC Windtec GmbH (“AMSC Windtec”). AMSC Windtec develops and sells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2" w:lineRule="auto"/>
        <w:rPr>
          <w:sz w:val="20"/>
          <w:szCs w:val="20"/>
          <w:color w:val="auto"/>
        </w:rPr>
      </w:pPr>
      <w:r>
        <w:rPr>
          <w:rFonts w:ascii="Arial" w:cs="Arial" w:eastAsia="Arial" w:hAnsi="Arial"/>
          <w:sz w:val="12"/>
          <w:szCs w:val="12"/>
          <w:color w:val="auto"/>
        </w:rPr>
        <w:t>electrical systems for wind turbines. AMSC Windtec also provides technology transfer for the manufacturing of wind turbines; documentation services; and training and support regarding the assembly, installation, commissioning, and service of wind turbines. The acquisition agreement included an earn-out provision for the issuance of up to an additional 1,400,000 shares of common stock upon AMSC Windtec’s achievement of specified revenue objectives during the first four fiscal years following closing of the acquisition. During the fiscal year ended March 31, 2011, we recorded contingent consideration of $10.0 million to goodwill and additional paid-in capital representing 350,000 shares earned. These 350,000 shares are expected to be issued in the second quarter of the fiscal year ending March 31, 2012. As of March 31, 2011, we have recorded contingent consideration up to the maximum amount of shares that could be earned under the agreement. Beginning on January 5, 2007, Windtec’s results of operations are included in our consolidated financial statements.</w:t>
      </w:r>
    </w:p>
    <w:p>
      <w:pPr>
        <w:spacing w:after="0" w:line="59"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On April 27, 2007, we acquired Power Quality Systems, Inc. (PQS), a Pennsylvania corporation. Pursuant to the merger agreement, we acquired all of the issued and outstanding shares of PQS, for which we issued 295,329 shares of our common stock. We valued the acquisition at approximately $4.3 million (excluding acquisition costs) using a value of $14.73 per share, which represents the five-day average closing price of the common stock from the two trading days before through two trading days after the signing of the merger agreement and the public announcement of the acquisition. The all-stock transaction also included an earn-out opportunity. with the potential for up to an additional 475,000 shares of our common stock to be issued to PQS’s former owners based on the achievement of certain order growth targets for existing PQS products for fiscal 2007 and 2008. As of March 31, 2009, an additional 150,000 shares were earned based on achieving the order growth targets for fiscal 2007 and fiscal 2008. These shares were valued at approximately $3.0 million, and were recorded to goodwill. As a result of this transaction, PQS is operated by AMSC Power Systems. The results of PQS’s operations are included in our consolidated results from the date of acquisition of April 27, 2007.</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impact of the above mentioned acquisitions is discussed further in Note 8, “Goodwill and Other Intangible Assets,” to the consolidated financial statements included in Item 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herein.</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 DISCUSSION AND ANALYSIS OF FINANCIAL CONDITION AND RESULTS OF OPERATIONS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Readers are strongly urged to read the Amendments to our Quarterly Reports on Form 10-Q for the quarterly periods ended September 30, 2010 and December 31, 2010 and this Annual Report on Form 10-K for the fiscal year ended March 31, 2011 together for a more complete understanding of the Company’s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Overview</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American Superconductor Corporation was founded in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 based products. Our wind and power grid products and services provide exceptional reliability, security, efficiency and affordability to our customers.</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7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manufacture products using two proprietary core technologies: PowerModule</w:t>
      </w:r>
      <w:r>
        <w:rPr>
          <w:rFonts w:ascii="Arial" w:cs="Arial" w:eastAsia="Arial" w:hAnsi="Arial"/>
          <w:sz w:val="7"/>
          <w:szCs w:val="7"/>
          <w:color w:val="auto"/>
        </w:rPr>
        <w:t>TM</w:t>
      </w:r>
      <w:r>
        <w:rPr>
          <w:rFonts w:ascii="Arial" w:cs="Arial" w:eastAsia="Arial" w:hAnsi="Arial"/>
          <w:sz w:val="13"/>
          <w:szCs w:val="13"/>
          <w:color w:val="auto"/>
        </w:rPr>
        <w:t xml:space="preserve"> programmable power electronic converters and our Amperium</w:t>
      </w:r>
      <w:r>
        <w:rPr>
          <w:rFonts w:ascii="Arial" w:cs="Arial" w:eastAsia="Arial" w:hAnsi="Arial"/>
          <w:sz w:val="7"/>
          <w:szCs w:val="7"/>
          <w:color w:val="auto"/>
        </w:rPr>
        <w:t>TM</w:t>
      </w:r>
      <w:r>
        <w:rPr>
          <w:rFonts w:ascii="Arial" w:cs="Arial" w:eastAsia="Arial" w:hAnsi="Arial"/>
          <w:sz w:val="13"/>
          <w:szCs w:val="13"/>
          <w:color w:val="auto"/>
        </w:rPr>
        <w:t xml:space="preserve"> HTS wires. These technologies and our system-level solutions are protected by a broad and deep intellectual property portfolio consisting of hundreds of patents and licenses worldwide.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March 12, 2011, we entered into a definitive agreement to acquire The Switch Engineering Oy, headquartered in Vantaa, Finland. The Switch designs, manufactures and markets wind power products, including permanent magnet generators and power converter systems, as well as grid products such as commercial and small utility-scale solar inverters to customers in Asia, including China, Europe and North America.</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of April 1, 2011, we are segmenting our operations into two new market-facing business units: Wind and Grid. We believe this market-centric structure enables us to more effectively anticipate and meet the needs of wind turbine manufacturers, power generation project developers and electric utilities.</w:t>
      </w:r>
    </w:p>
    <w:p>
      <w:pPr>
        <w:spacing w:after="0" w:line="59" w:lineRule="exact"/>
        <w:rPr>
          <w:sz w:val="20"/>
          <w:szCs w:val="20"/>
          <w:color w:val="auto"/>
        </w:rPr>
      </w:pPr>
    </w:p>
    <w:p>
      <w:pPr>
        <w:jc w:val="both"/>
        <w:ind w:left="1280" w:hanging="190"/>
        <w:spacing w:after="0" w:line="285" w:lineRule="auto"/>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 xml:space="preserve">Wind. </w:t>
      </w:r>
      <w:r>
        <w:rPr>
          <w:rFonts w:ascii="Arial" w:cs="Arial" w:eastAsia="Arial" w:hAnsi="Arial"/>
          <w:sz w:val="12"/>
          <w:szCs w:val="12"/>
          <w:color w:val="auto"/>
        </w:rPr>
        <w:t>Through our Windtec brand, our Wind business enables manufacturers to field wind turbines with exceptional power output, reliability and affordability. We license our</w:t>
      </w:r>
      <w:r>
        <w:rPr>
          <w:rFonts w:ascii="Arial" w:cs="Arial" w:eastAsia="Arial" w:hAnsi="Arial"/>
          <w:sz w:val="12"/>
          <w:szCs w:val="12"/>
          <w:i w:val="1"/>
          <w:iCs w:val="1"/>
          <w:color w:val="auto"/>
        </w:rPr>
        <w:t xml:space="preserve"> </w:t>
      </w:r>
      <w:r>
        <w:rPr>
          <w:rFonts w:ascii="Arial" w:cs="Arial" w:eastAsia="Arial" w:hAnsi="Arial"/>
          <w:sz w:val="12"/>
          <w:szCs w:val="12"/>
          <w:color w:val="auto"/>
        </w:rPr>
        <w:t>highly engineered wind turbine 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45" w:lineRule="exact"/>
        <w:rPr>
          <w:rFonts w:ascii="Arial" w:cs="Arial" w:eastAsia="Arial" w:hAnsi="Arial"/>
          <w:sz w:val="12"/>
          <w:szCs w:val="12"/>
          <w:color w:val="auto"/>
        </w:rPr>
      </w:pPr>
    </w:p>
    <w:p>
      <w:pPr>
        <w:jc w:val="both"/>
        <w:ind w:left="1280" w:hanging="190"/>
        <w:spacing w:after="0" w:line="260"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Grid. </w:t>
      </w:r>
      <w:r>
        <w:rPr>
          <w:rFonts w:ascii="Arial" w:cs="Arial" w:eastAsia="Arial" w:hAnsi="Arial"/>
          <w:sz w:val="13"/>
          <w:szCs w:val="13"/>
          <w:color w:val="auto"/>
        </w:rPr>
        <w:t>Our Grid segment enables electric utilities and renewable energy project developers to connect, transmit and distribute power with exceptional efficiency, reliability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Prior to April 1, 2011, we segmented our operations through two technology-centric business units: AMSC Power Systems and AMSC Superconductors. AMSC Power Systems included all of our Wind products, as well as Grid products that regulate voltage for wind farm voltage electric utilities, renewable generation project developers and industrial operations. Solutions from our AMSC Superconductors business unit have been incorporated into our Grid business unit.</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fiscal year begins on April 1 and ends on March 31. When we refer to a particular fiscal year, we are referring to the fiscal year beginning on April 1 of that same year. For example, fiscal 2010 refers to the fiscal year beginning on April 1, 2010. Other fiscal years follow similarly.</w:t>
      </w:r>
    </w:p>
    <w:p>
      <w:pPr>
        <w:spacing w:after="0" w:line="59"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cash requirements depend on numerous factors, including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71"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Sinovel has been our largest customer, accounting for 68%, 70% and 67% of our total revenue for fiscal 2010, 2009 and 2008, respectively, and was the only customer accounting for more than 10% of our total revenue for those fiscal years. We derived our revenues from Sinovel through sales of core electrical components as well as development contracts for the design of wind turbines. On March 31, 2011, Sinovel refused to accept contracted scheduled shipments with a revenue value of approximately $65.2 million. In addition, we had approximately $62.0 million of receivables (excluding value added tax), some aged over six months, outstanding as of March 31, 2011 from Sinovel. The last payment received from Sinovel was in early March 2011. These factors, combined with aged receivables from other smaller Chinese customers, prompted management to review prior periods to determine if revenue had been properly recognized. The results of that review are more fully discussed in “Restatements” below.</w:t>
      </w:r>
    </w:p>
    <w:p>
      <w:pPr>
        <w:spacing w:after="0" w:line="59"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72"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While we have had several discussions with Sinovel since March 31, 2011, as of the date of this filing, we have not received payment for any outstanding receivables nor have we been notified as to when, if ever, they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AMSC Windtec subsidiary, we believe that Sinovel illegally obtained and used our intellectual property in violation of civil and criminal intellectual property laws. In July 2011, the former employee was arrested in Austria and is currently awaiting trial on charges of economic espionage and fraudulent manipulation of data. As a result of the investigations, we believe that this former employee was contracted by Sinovel through an intermediary while employed by us and improperly obtained and transferred to Sinovel portions of our wind turbine control software source code developed for Sinovel’s 1.5MW wind turbines. Except for portions of this 1.5 MW wind turbine software, we do not believe that the source code for any other turbines, such as the 3MW, 5MW and 6MW wind turbines that were designed by and co-developed with us have been transferred to Sinovel. Moreover, we believe the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are also in the process of filing civil and criminal complaints against Sinovel. On September 16, 2011, we filed a civil complaint in China against Dalian Guotong Electric, Co., Ltd. and other parties. The complaints allege the illegal use of our intellectual property. We are seeking to compel Sinovel and the other parties to cease and desist from infringing our intellectual property and are also seeking monetary damages to compensate us for our economic losses resulting from the infringement.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cannot provide any assurance as to the outcome of these legal actions. We are now operating our business under the assumption that Sinovel will not be a customer.</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Restatements</w:t>
      </w:r>
    </w:p>
    <w:p>
      <w:pPr>
        <w:spacing w:after="0" w:line="100"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The refusal by Sinovel to accept scheduled shipments from us on March 31, 2011, as well as aging receivables from Sinovel and certain of our other customers in China, prompted us to re-evaluate our accounting judgments around revenue recognition and, accounts receivable. This re-evaluation included an internal review of documents and interviews with management and other personnel with the assistance of external counsel. As a result, we determined that revenues and accounts receivable were incorrectly recorded in the quarterly period ended September 30, 2010 for certain of our customers in China as the fee for shipments of products to these customers was not fixed or determinable or collectability was not reasonably assured at the time of shipment. Further, as a result of aging receivables and other negative events surrounding the customer relationship, we concluded that revenue related to shipments to Sinovel in the quarterly period ended December 31, 2010 was incorrectly recorded since collectability was not reasonably assured at the time of shipment. For these customers, we have restated revenues based on a cash basis of accounting with cash applied first against accounts receivable balances, as in the case of Sinovel as of September 30, 2010, then costs of shipments (inventory and value added taxes) before recognizing any gross margin. We had previously recognized revenues in the quarters ended September 30, 2010 and December 31, 2010 based on the receipt of shipments by these customers but prior to our receipt of payment for such shipments. Accordingly, our unaudited condensed consolidated financial statements for the three and six months ended September 30, 2010 and the three and nine months ended December 31, 2010 have been restated to reflect restatement adjustments to record revenues on a cash basis for these certain customers in China as well as the related effects to accounts receivable, inventory, deferred taxes, stockholders’ equity, cost of revenues, operating expenses, income taxes and other accounts on the unaudited condensed consolidated financial statements.</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effects of the restatement on the Company’s unaudited condensed consolidated statements of income for the three and six months ended September 30, 2010 are as follows (in thousands, except share data):</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94"/>
              </w:rPr>
              <w:t>September 30, 2010</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Previously</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Adjustments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jc w:val="right"/>
              <w:ind w:right="194"/>
              <w:spacing w:after="0"/>
              <w:rPr>
                <w:sz w:val="20"/>
                <w:szCs w:val="20"/>
                <w:color w:val="auto"/>
              </w:rPr>
            </w:pPr>
            <w:r>
              <w:rPr>
                <w:rFonts w:ascii="Arial" w:cs="Arial" w:eastAsia="Arial" w:hAnsi="Arial"/>
                <w:sz w:val="10"/>
                <w:szCs w:val="10"/>
                <w:b w:val="1"/>
                <w:bCs w:val="1"/>
                <w:color w:val="auto"/>
              </w:rPr>
              <w:t>Restated</w:t>
            </w:r>
          </w:p>
        </w:tc>
        <w:tc>
          <w:tcPr>
            <w:tcW w:w="0" w:type="dxa"/>
            <w:vAlign w:val="bottom"/>
          </w:tcPr>
          <w:p>
            <w:pPr>
              <w:spacing w:after="0"/>
              <w:rPr>
                <w:sz w:val="1"/>
                <w:szCs w:val="1"/>
                <w:color w:val="auto"/>
              </w:rPr>
            </w:pPr>
          </w:p>
        </w:tc>
      </w:tr>
      <w:tr>
        <w:trPr>
          <w:trHeight w:val="125"/>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5"/>
              </w:rPr>
              <w:t>Reported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135"/>
              <w:spacing w:after="0"/>
              <w:rPr>
                <w:sz w:val="20"/>
                <w:szCs w:val="20"/>
                <w:color w:val="auto"/>
              </w:rPr>
            </w:pPr>
            <w:r>
              <w:rPr>
                <w:rFonts w:ascii="Arial" w:cs="Arial" w:eastAsia="Arial" w:hAnsi="Arial"/>
                <w:sz w:val="13"/>
                <w:szCs w:val="13"/>
                <w:color w:val="auto"/>
              </w:rPr>
              <w:t>$101,529</w:t>
            </w:r>
          </w:p>
        </w:tc>
        <w:tc>
          <w:tcPr>
            <w:tcW w:w="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194"/>
              <w:spacing w:after="0"/>
              <w:rPr>
                <w:sz w:val="20"/>
                <w:szCs w:val="20"/>
                <w:color w:val="auto"/>
              </w:rPr>
            </w:pPr>
            <w:r>
              <w:rPr>
                <w:rFonts w:ascii="Arial" w:cs="Arial" w:eastAsia="Arial" w:hAnsi="Arial"/>
                <w:sz w:val="13"/>
                <w:szCs w:val="13"/>
                <w:color w:val="auto"/>
              </w:rPr>
              <w:t>$(3,456)</w:t>
            </w:r>
          </w:p>
        </w:tc>
        <w:tc>
          <w:tcPr>
            <w:tcW w:w="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ind w:right="214"/>
              <w:spacing w:after="0"/>
              <w:rPr>
                <w:sz w:val="20"/>
                <w:szCs w:val="20"/>
                <w:color w:val="auto"/>
              </w:rPr>
            </w:pPr>
            <w:r>
              <w:rPr>
                <w:rFonts w:ascii="Arial" w:cs="Arial" w:eastAsia="Arial" w:hAnsi="Arial"/>
                <w:sz w:val="13"/>
                <w:szCs w:val="13"/>
                <w:color w:val="auto"/>
              </w:rPr>
              <w:t>$98,073</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80" w:type="dxa"/>
            <w:vAlign w:val="bottom"/>
          </w:tcPr>
          <w:p>
            <w:pPr>
              <w:spacing w:after="0"/>
              <w:rPr>
                <w:sz w:val="13"/>
                <w:szCs w:val="13"/>
                <w:color w:val="auto"/>
              </w:rPr>
            </w:pP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60,226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(810)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3"/>
                <w:szCs w:val="13"/>
                <w:color w:val="auto"/>
                <w:w w:val="85"/>
              </w:rPr>
              <w:t>59,416</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17,127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5"/>
              </w:rPr>
              <w:t>17,346</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Total cost and operating expenses</w:t>
            </w:r>
          </w:p>
        </w:tc>
        <w:tc>
          <w:tcPr>
            <w:tcW w:w="280" w:type="dxa"/>
            <w:vAlign w:val="bottom"/>
          </w:tcPr>
          <w:p>
            <w:pPr>
              <w:spacing w:after="0"/>
              <w:rPr>
                <w:sz w:val="13"/>
                <w:szCs w:val="13"/>
                <w:color w:val="auto"/>
              </w:rPr>
            </w:pP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85,584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3"/>
                <w:szCs w:val="13"/>
                <w:color w:val="auto"/>
                <w:w w:val="85"/>
              </w:rPr>
              <w:t>84,993</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15,945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92"/>
              </w:rPr>
              <w:t>(2,865)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5"/>
              </w:rPr>
              <w:t>13,080</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Income before income tax expense</w:t>
            </w:r>
          </w:p>
        </w:tc>
        <w:tc>
          <w:tcPr>
            <w:tcW w:w="280" w:type="dxa"/>
            <w:vAlign w:val="bottom"/>
          </w:tcPr>
          <w:p>
            <w:pPr>
              <w:spacing w:after="0"/>
              <w:rPr>
                <w:sz w:val="13"/>
                <w:szCs w:val="13"/>
                <w:color w:val="auto"/>
              </w:rPr>
            </w:pP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18,584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2"/>
              </w:rPr>
              <w:t>(2,865)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3"/>
                <w:szCs w:val="13"/>
                <w:color w:val="auto"/>
                <w:w w:val="85"/>
              </w:rPr>
              <w:t>15,719</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8,596</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(716)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7,880</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9,988</w:t>
            </w:r>
          </w:p>
        </w:tc>
        <w:tc>
          <w:tcPr>
            <w:tcW w:w="60" w:type="dxa"/>
            <w:vAlign w:val="bottom"/>
          </w:tcPr>
          <w:p>
            <w:pPr>
              <w:spacing w:after="0"/>
              <w:rPr>
                <w:sz w:val="13"/>
                <w:szCs w:val="13"/>
                <w:color w:val="auto"/>
              </w:rPr>
            </w:pPr>
          </w:p>
        </w:tc>
        <w:tc>
          <w:tcPr>
            <w:tcW w:w="1320" w:type="dxa"/>
            <w:vAlign w:val="bottom"/>
            <w:gridSpan w:val="4"/>
          </w:tcPr>
          <w:p>
            <w:pPr>
              <w:jc w:val="right"/>
              <w:ind w:right="194"/>
              <w:spacing w:after="0"/>
              <w:rPr>
                <w:sz w:val="20"/>
                <w:szCs w:val="20"/>
                <w:color w:val="auto"/>
              </w:rPr>
            </w:pPr>
            <w:r>
              <w:rPr>
                <w:rFonts w:ascii="Arial" w:cs="Arial" w:eastAsia="Arial" w:hAnsi="Arial"/>
                <w:sz w:val="13"/>
                <w:szCs w:val="13"/>
                <w:color w:val="auto"/>
              </w:rPr>
              <w:t>$(2,149)</w:t>
            </w:r>
          </w:p>
        </w:tc>
        <w:tc>
          <w:tcPr>
            <w:tcW w:w="8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4"/>
              <w:spacing w:after="0"/>
              <w:rPr>
                <w:sz w:val="20"/>
                <w:szCs w:val="20"/>
                <w:color w:val="auto"/>
              </w:rPr>
            </w:pPr>
            <w:r>
              <w:rPr>
                <w:rFonts w:ascii="Arial" w:cs="Arial" w:eastAsia="Arial" w:hAnsi="Arial"/>
                <w:sz w:val="13"/>
                <w:szCs w:val="13"/>
                <w:color w:val="auto"/>
              </w:rPr>
              <w:t>7,839</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common share — basic</w:t>
            </w: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0.22</w:t>
            </w: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65"/>
        </w:trPr>
        <w:tc>
          <w:tcPr>
            <w:tcW w:w="6420" w:type="dxa"/>
            <w:vAlign w:val="bottom"/>
            <w:gridSpan w:val="2"/>
          </w:tcPr>
          <w:p>
            <w:pPr>
              <w:spacing w:after="0"/>
              <w:rPr>
                <w:sz w:val="20"/>
                <w:szCs w:val="20"/>
                <w:color w:val="auto"/>
              </w:rPr>
            </w:pPr>
            <w:r>
              <w:rPr>
                <w:rFonts w:ascii="Arial" w:cs="Arial" w:eastAsia="Arial" w:hAnsi="Arial"/>
                <w:sz w:val="13"/>
                <w:szCs w:val="13"/>
                <w:color w:val="auto"/>
              </w:rPr>
              <w:t>Net income per common share — diluted</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0.22</w:t>
            </w:r>
          </w:p>
        </w:tc>
        <w:tc>
          <w:tcPr>
            <w:tcW w:w="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(0.05)</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261"/>
        </w:trPr>
        <w:tc>
          <w:tcPr>
            <w:tcW w:w="6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4"/>
              </w:rPr>
              <w:t>Six Months Ended</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6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September 30, 2010</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tcPr>
          <w:p>
            <w:pPr>
              <w:ind w:left="200"/>
              <w:spacing w:after="0" w:line="81" w:lineRule="exact"/>
              <w:rPr>
                <w:sz w:val="20"/>
                <w:szCs w:val="20"/>
                <w:color w:val="auto"/>
              </w:rPr>
            </w:pPr>
            <w:r>
              <w:rPr>
                <w:rFonts w:ascii="Arial" w:cs="Arial" w:eastAsia="Arial" w:hAnsi="Arial"/>
                <w:sz w:val="9"/>
                <w:szCs w:val="9"/>
                <w:b w:val="1"/>
                <w:bCs w:val="1"/>
                <w:color w:val="auto"/>
              </w:rPr>
              <w:t>Previously</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0"/>
                <w:szCs w:val="10"/>
                <w:b w:val="1"/>
                <w:bCs w:val="1"/>
                <w:color w:val="auto"/>
                <w:w w:val="95"/>
              </w:rPr>
              <w:t>Adjustments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jc w:val="right"/>
              <w:ind w:right="234"/>
              <w:spacing w:after="0"/>
              <w:rPr>
                <w:sz w:val="20"/>
                <w:szCs w:val="20"/>
                <w:color w:val="auto"/>
              </w:rPr>
            </w:pPr>
            <w:r>
              <w:rPr>
                <w:rFonts w:ascii="Arial" w:cs="Arial" w:eastAsia="Arial" w:hAnsi="Arial"/>
                <w:sz w:val="10"/>
                <w:szCs w:val="10"/>
                <w:b w:val="1"/>
                <w:bCs w:val="1"/>
                <w:color w:val="auto"/>
              </w:rPr>
              <w:t>Restated</w:t>
            </w:r>
          </w:p>
        </w:tc>
        <w:tc>
          <w:tcPr>
            <w:tcW w:w="0" w:type="dxa"/>
            <w:vAlign w:val="bottom"/>
          </w:tcPr>
          <w:p>
            <w:pPr>
              <w:spacing w:after="0"/>
              <w:rPr>
                <w:sz w:val="1"/>
                <w:szCs w:val="1"/>
                <w:color w:val="auto"/>
              </w:rPr>
            </w:pPr>
          </w:p>
        </w:tc>
      </w:tr>
      <w:tr>
        <w:trPr>
          <w:trHeight w:val="125"/>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ind w:left="220"/>
              <w:spacing w:after="0"/>
              <w:rPr>
                <w:sz w:val="20"/>
                <w:szCs w:val="20"/>
                <w:color w:val="auto"/>
              </w:rPr>
            </w:pPr>
            <w:r>
              <w:rPr>
                <w:rFonts w:ascii="Arial" w:cs="Arial" w:eastAsia="Arial" w:hAnsi="Arial"/>
                <w:sz w:val="10"/>
                <w:szCs w:val="10"/>
                <w:b w:val="1"/>
                <w:bCs w:val="1"/>
                <w:color w:val="auto"/>
              </w:rPr>
              <w:t>Reported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3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195"/>
              <w:spacing w:after="0"/>
              <w:rPr>
                <w:sz w:val="20"/>
                <w:szCs w:val="20"/>
                <w:color w:val="auto"/>
              </w:rPr>
            </w:pPr>
            <w:r>
              <w:rPr>
                <w:rFonts w:ascii="Arial" w:cs="Arial" w:eastAsia="Arial" w:hAnsi="Arial"/>
                <w:sz w:val="13"/>
                <w:szCs w:val="13"/>
                <w:color w:val="auto"/>
              </w:rPr>
              <w:t>$198,739</w:t>
            </w:r>
          </w:p>
        </w:tc>
        <w:tc>
          <w:tcPr>
            <w:tcW w:w="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$(3,456)</w:t>
            </w:r>
          </w:p>
        </w:tc>
        <w:tc>
          <w:tcPr>
            <w:tcW w:w="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ind w:right="214"/>
              <w:spacing w:after="0"/>
              <w:rPr>
                <w:sz w:val="20"/>
                <w:szCs w:val="20"/>
                <w:color w:val="auto"/>
              </w:rPr>
            </w:pPr>
            <w:r>
              <w:rPr>
                <w:rFonts w:ascii="Arial" w:cs="Arial" w:eastAsia="Arial" w:hAnsi="Arial"/>
                <w:sz w:val="13"/>
                <w:szCs w:val="13"/>
                <w:color w:val="auto"/>
              </w:rPr>
              <w:t>$195,283</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920" w:type="dxa"/>
            <w:vAlign w:val="bottom"/>
            <w:gridSpan w:val="2"/>
          </w:tcPr>
          <w:p>
            <w:pPr>
              <w:jc w:val="right"/>
              <w:ind w:right="195"/>
              <w:spacing w:after="0"/>
              <w:rPr>
                <w:sz w:val="20"/>
                <w:szCs w:val="20"/>
                <w:color w:val="auto"/>
              </w:rPr>
            </w:pPr>
            <w:r>
              <w:rPr>
                <w:rFonts w:ascii="Arial" w:cs="Arial" w:eastAsia="Arial" w:hAnsi="Arial"/>
                <w:sz w:val="13"/>
                <w:szCs w:val="13"/>
                <w:color w:val="auto"/>
              </w:rPr>
              <w:t>118,450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274"/>
              <w:spacing w:after="0"/>
              <w:rPr>
                <w:sz w:val="20"/>
                <w:szCs w:val="20"/>
                <w:color w:val="auto"/>
              </w:rPr>
            </w:pPr>
            <w:r>
              <w:rPr>
                <w:rFonts w:ascii="Arial" w:cs="Arial" w:eastAsia="Arial" w:hAnsi="Arial"/>
                <w:sz w:val="13"/>
                <w:szCs w:val="13"/>
                <w:color w:val="auto"/>
                <w:w w:val="98"/>
              </w:rPr>
              <w:t>(810)</w:t>
            </w:r>
          </w:p>
        </w:tc>
        <w:tc>
          <w:tcPr>
            <w:tcW w:w="80" w:type="dxa"/>
            <w:vAlign w:val="bottom"/>
          </w:tcPr>
          <w:p>
            <w:pPr>
              <w:spacing w:after="0"/>
              <w:rPr>
                <w:sz w:val="13"/>
                <w:szCs w:val="13"/>
                <w:color w:val="auto"/>
              </w:rPr>
            </w:pPr>
          </w:p>
        </w:tc>
        <w:tc>
          <w:tcPr>
            <w:tcW w:w="1180" w:type="dxa"/>
            <w:vAlign w:val="bottom"/>
            <w:gridSpan w:val="4"/>
          </w:tcPr>
          <w:p>
            <w:pPr>
              <w:jc w:val="right"/>
              <w:ind w:right="214"/>
              <w:spacing w:after="0"/>
              <w:rPr>
                <w:sz w:val="20"/>
                <w:szCs w:val="20"/>
                <w:color w:val="auto"/>
              </w:rPr>
            </w:pPr>
            <w:r>
              <w:rPr>
                <w:rFonts w:ascii="Arial" w:cs="Arial" w:eastAsia="Arial" w:hAnsi="Arial"/>
                <w:sz w:val="13"/>
                <w:szCs w:val="13"/>
                <w:color w:val="auto"/>
              </w:rPr>
              <w:t>117,640</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90"/>
              </w:rPr>
              <w:t>32,310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5"/>
              </w:rPr>
              <w:t>32,529</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Total cost and operating expenses</w:t>
            </w:r>
          </w:p>
        </w:tc>
        <w:tc>
          <w:tcPr>
            <w:tcW w:w="920" w:type="dxa"/>
            <w:vAlign w:val="bottom"/>
            <w:gridSpan w:val="2"/>
          </w:tcPr>
          <w:p>
            <w:pPr>
              <w:jc w:val="right"/>
              <w:ind w:right="195"/>
              <w:spacing w:after="0"/>
              <w:rPr>
                <w:sz w:val="20"/>
                <w:szCs w:val="20"/>
                <w:color w:val="auto"/>
              </w:rPr>
            </w:pPr>
            <w:r>
              <w:rPr>
                <w:rFonts w:ascii="Arial" w:cs="Arial" w:eastAsia="Arial" w:hAnsi="Arial"/>
                <w:sz w:val="13"/>
                <w:szCs w:val="13"/>
                <w:color w:val="auto"/>
              </w:rPr>
              <w:t>166,714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274"/>
              <w:spacing w:after="0"/>
              <w:rPr>
                <w:sz w:val="20"/>
                <w:szCs w:val="20"/>
                <w:color w:val="auto"/>
              </w:rPr>
            </w:pPr>
            <w:r>
              <w:rPr>
                <w:rFonts w:ascii="Arial" w:cs="Arial" w:eastAsia="Arial" w:hAnsi="Arial"/>
                <w:sz w:val="13"/>
                <w:szCs w:val="13"/>
                <w:color w:val="auto"/>
                <w:w w:val="98"/>
              </w:rPr>
              <w:t>(591)</w:t>
            </w:r>
          </w:p>
        </w:tc>
        <w:tc>
          <w:tcPr>
            <w:tcW w:w="80" w:type="dxa"/>
            <w:vAlign w:val="bottom"/>
          </w:tcPr>
          <w:p>
            <w:pPr>
              <w:spacing w:after="0"/>
              <w:rPr>
                <w:sz w:val="13"/>
                <w:szCs w:val="13"/>
                <w:color w:val="auto"/>
              </w:rPr>
            </w:pPr>
          </w:p>
        </w:tc>
        <w:tc>
          <w:tcPr>
            <w:tcW w:w="1180" w:type="dxa"/>
            <w:vAlign w:val="bottom"/>
            <w:gridSpan w:val="4"/>
          </w:tcPr>
          <w:p>
            <w:pPr>
              <w:jc w:val="right"/>
              <w:ind w:right="214"/>
              <w:spacing w:after="0"/>
              <w:rPr>
                <w:sz w:val="20"/>
                <w:szCs w:val="20"/>
                <w:color w:val="auto"/>
              </w:rPr>
            </w:pPr>
            <w:r>
              <w:rPr>
                <w:rFonts w:ascii="Arial" w:cs="Arial" w:eastAsia="Arial" w:hAnsi="Arial"/>
                <w:sz w:val="13"/>
                <w:szCs w:val="13"/>
                <w:color w:val="auto"/>
              </w:rPr>
              <w:t>166,123</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90"/>
              </w:rPr>
              <w:t>32,025</w:t>
            </w:r>
          </w:p>
        </w:tc>
        <w:tc>
          <w:tcPr>
            <w:tcW w:w="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(2,865)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5"/>
              </w:rPr>
              <w:t>29,160</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Income before income tax expense</w:t>
            </w:r>
          </w:p>
        </w:tc>
        <w:tc>
          <w:tcPr>
            <w:tcW w:w="280" w:type="dxa"/>
            <w:vAlign w:val="bottom"/>
          </w:tcPr>
          <w:p>
            <w:pPr>
              <w:spacing w:after="0"/>
              <w:rPr>
                <w:sz w:val="13"/>
                <w:szCs w:val="13"/>
                <w:color w:val="auto"/>
              </w:rPr>
            </w:pPr>
          </w:p>
        </w:tc>
        <w:tc>
          <w:tcPr>
            <w:tcW w:w="640" w:type="dxa"/>
            <w:vAlign w:val="bottom"/>
          </w:tcPr>
          <w:p>
            <w:pPr>
              <w:jc w:val="right"/>
              <w:ind w:right="195"/>
              <w:spacing w:after="0"/>
              <w:rPr>
                <w:sz w:val="20"/>
                <w:szCs w:val="20"/>
                <w:color w:val="auto"/>
              </w:rPr>
            </w:pPr>
            <w:r>
              <w:rPr>
                <w:rFonts w:ascii="Arial" w:cs="Arial" w:eastAsia="Arial" w:hAnsi="Arial"/>
                <w:sz w:val="13"/>
                <w:szCs w:val="13"/>
                <w:color w:val="auto"/>
                <w:w w:val="90"/>
              </w:rPr>
              <w:t>35,010</w:t>
            </w:r>
          </w:p>
        </w:tc>
        <w:tc>
          <w:tcPr>
            <w:tcW w:w="60" w:type="dxa"/>
            <w:vAlign w:val="bottom"/>
          </w:tcPr>
          <w:p>
            <w:pPr>
              <w:spacing w:after="0"/>
              <w:rPr>
                <w:sz w:val="13"/>
                <w:szCs w:val="13"/>
                <w:color w:val="auto"/>
              </w:rPr>
            </w:pPr>
          </w:p>
        </w:tc>
        <w:tc>
          <w:tcPr>
            <w:tcW w:w="1320" w:type="dxa"/>
            <w:vAlign w:val="bottom"/>
            <w:gridSpan w:val="4"/>
          </w:tcPr>
          <w:p>
            <w:pPr>
              <w:jc w:val="right"/>
              <w:ind w:right="274"/>
              <w:spacing w:after="0"/>
              <w:rPr>
                <w:sz w:val="20"/>
                <w:szCs w:val="20"/>
                <w:color w:val="auto"/>
              </w:rPr>
            </w:pPr>
            <w:r>
              <w:rPr>
                <w:rFonts w:ascii="Arial" w:cs="Arial" w:eastAsia="Arial" w:hAnsi="Arial"/>
                <w:sz w:val="13"/>
                <w:szCs w:val="13"/>
                <w:color w:val="auto"/>
              </w:rPr>
              <w:t>(2,865)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3"/>
                <w:szCs w:val="13"/>
                <w:color w:val="auto"/>
                <w:w w:val="85"/>
              </w:rPr>
              <w:t>32,145</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90"/>
              </w:rPr>
              <w:t>15,853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98"/>
              </w:rPr>
              <w:t>(716)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5"/>
              </w:rPr>
              <w:t>15,137</w:t>
            </w:r>
          </w:p>
        </w:tc>
        <w:tc>
          <w:tcPr>
            <w:tcW w:w="0" w:type="dxa"/>
            <w:vAlign w:val="bottom"/>
          </w:tcPr>
          <w:p>
            <w:pPr>
              <w:spacing w:after="0"/>
              <w:rPr>
                <w:sz w:val="1"/>
                <w:szCs w:val="1"/>
                <w:color w:val="auto"/>
              </w:rPr>
            </w:pPr>
          </w:p>
        </w:tc>
      </w:tr>
      <w:tr>
        <w:trPr>
          <w:trHeight w:val="157"/>
        </w:trPr>
        <w:tc>
          <w:tcPr>
            <w:tcW w:w="64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5"/>
              <w:spacing w:after="0"/>
              <w:rPr>
                <w:sz w:val="20"/>
                <w:szCs w:val="20"/>
                <w:color w:val="auto"/>
              </w:rPr>
            </w:pPr>
            <w:r>
              <w:rPr>
                <w:rFonts w:ascii="Arial" w:cs="Arial" w:eastAsia="Arial" w:hAnsi="Arial"/>
                <w:sz w:val="13"/>
                <w:szCs w:val="13"/>
                <w:color w:val="auto"/>
                <w:w w:val="90"/>
              </w:rPr>
              <w:t>19,157</w:t>
            </w:r>
          </w:p>
        </w:tc>
        <w:tc>
          <w:tcPr>
            <w:tcW w:w="60" w:type="dxa"/>
            <w:vAlign w:val="bottom"/>
          </w:tcPr>
          <w:p>
            <w:pPr>
              <w:spacing w:after="0"/>
              <w:rPr>
                <w:sz w:val="13"/>
                <w:szCs w:val="13"/>
                <w:color w:val="auto"/>
              </w:rPr>
            </w:pPr>
          </w:p>
        </w:tc>
        <w:tc>
          <w:tcPr>
            <w:tcW w:w="1320" w:type="dxa"/>
            <w:vAlign w:val="bottom"/>
            <w:gridSpan w:val="4"/>
          </w:tcPr>
          <w:p>
            <w:pPr>
              <w:jc w:val="right"/>
              <w:ind w:right="274"/>
              <w:spacing w:after="0"/>
              <w:rPr>
                <w:sz w:val="20"/>
                <w:szCs w:val="20"/>
                <w:color w:val="auto"/>
              </w:rPr>
            </w:pPr>
            <w:r>
              <w:rPr>
                <w:rFonts w:ascii="Arial" w:cs="Arial" w:eastAsia="Arial" w:hAnsi="Arial"/>
                <w:sz w:val="13"/>
                <w:szCs w:val="13"/>
                <w:color w:val="auto"/>
              </w:rPr>
              <w:t>$(2,149)</w:t>
            </w:r>
          </w:p>
        </w:tc>
        <w:tc>
          <w:tcPr>
            <w:tcW w:w="80" w:type="dxa"/>
            <w:vAlign w:val="bottom"/>
          </w:tcPr>
          <w:p>
            <w:pPr>
              <w:spacing w:after="0"/>
              <w:rPr>
                <w:sz w:val="13"/>
                <w:szCs w:val="13"/>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4"/>
              <w:spacing w:after="0"/>
              <w:rPr>
                <w:sz w:val="20"/>
                <w:szCs w:val="20"/>
                <w:color w:val="auto"/>
              </w:rPr>
            </w:pPr>
            <w:r>
              <w:rPr>
                <w:rFonts w:ascii="Arial" w:cs="Arial" w:eastAsia="Arial" w:hAnsi="Arial"/>
                <w:sz w:val="13"/>
                <w:szCs w:val="13"/>
                <w:color w:val="auto"/>
                <w:w w:val="85"/>
              </w:rPr>
              <w:t>17,008</w:t>
            </w:r>
          </w:p>
        </w:tc>
        <w:tc>
          <w:tcPr>
            <w:tcW w:w="0" w:type="dxa"/>
            <w:vAlign w:val="bottom"/>
          </w:tcPr>
          <w:p>
            <w:pPr>
              <w:spacing w:after="0"/>
              <w:rPr>
                <w:sz w:val="1"/>
                <w:szCs w:val="1"/>
                <w:color w:val="auto"/>
              </w:rPr>
            </w:pPr>
          </w:p>
        </w:tc>
      </w:tr>
      <w:tr>
        <w:trPr>
          <w:trHeight w:val="157"/>
        </w:trPr>
        <w:tc>
          <w:tcPr>
            <w:tcW w:w="6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common share — basic</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0.42</w:t>
            </w: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8"/>
              </w:rPr>
              <w:t>(0.05)</w:t>
            </w: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65"/>
        </w:trPr>
        <w:tc>
          <w:tcPr>
            <w:tcW w:w="6420" w:type="dxa"/>
            <w:vAlign w:val="bottom"/>
            <w:gridSpan w:val="2"/>
          </w:tcPr>
          <w:p>
            <w:pPr>
              <w:spacing w:after="0"/>
              <w:rPr>
                <w:sz w:val="20"/>
                <w:szCs w:val="20"/>
                <w:color w:val="auto"/>
              </w:rPr>
            </w:pPr>
            <w:r>
              <w:rPr>
                <w:rFonts w:ascii="Arial" w:cs="Arial" w:eastAsia="Arial" w:hAnsi="Arial"/>
                <w:sz w:val="13"/>
                <w:szCs w:val="13"/>
                <w:color w:val="auto"/>
              </w:rPr>
              <w:t>Net income per common share — diluted</w:t>
            </w: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5"/>
              <w:spacing w:after="0"/>
              <w:rPr>
                <w:sz w:val="20"/>
                <w:szCs w:val="20"/>
                <w:color w:val="auto"/>
              </w:rPr>
            </w:pPr>
            <w:r>
              <w:rPr>
                <w:rFonts w:ascii="Arial" w:cs="Arial" w:eastAsia="Arial" w:hAnsi="Arial"/>
                <w:sz w:val="13"/>
                <w:szCs w:val="13"/>
                <w:color w:val="auto"/>
              </w:rPr>
              <w:t>0.42</w:t>
            </w:r>
          </w:p>
        </w:tc>
        <w:tc>
          <w:tcPr>
            <w:tcW w:w="60" w:type="dxa"/>
            <w:vAlign w:val="bottom"/>
          </w:tcPr>
          <w:p>
            <w:pPr>
              <w:spacing w:after="0"/>
              <w:rPr>
                <w:sz w:val="14"/>
                <w:szCs w:val="14"/>
                <w:color w:val="auto"/>
              </w:rPr>
            </w:pPr>
          </w:p>
        </w:tc>
        <w:tc>
          <w:tcPr>
            <w:tcW w:w="6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74"/>
              <w:spacing w:after="0"/>
              <w:rPr>
                <w:sz w:val="20"/>
                <w:szCs w:val="20"/>
                <w:color w:val="auto"/>
              </w:rPr>
            </w:pPr>
            <w:r>
              <w:rPr>
                <w:rFonts w:ascii="Arial" w:cs="Arial" w:eastAsia="Arial" w:hAnsi="Arial"/>
                <w:sz w:val="13"/>
                <w:szCs w:val="13"/>
                <w:color w:val="auto"/>
                <w:w w:val="88"/>
              </w:rPr>
              <w:t>(0.05)</w:t>
            </w:r>
          </w:p>
        </w:tc>
        <w:tc>
          <w:tcPr>
            <w:tcW w:w="80" w:type="dxa"/>
            <w:vAlign w:val="bottom"/>
          </w:tcPr>
          <w:p>
            <w:pPr>
              <w:spacing w:after="0"/>
              <w:rPr>
                <w:sz w:val="14"/>
                <w:szCs w:val="14"/>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4"/>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Included in the restatement adjustments for the three months ended September 30, 2010, is an increase in the provision for excess and obsolete inventory of $0.6 million and a write-off of certain prepaid value added taxes of $0.2 million that relate to amounts due from certain of its customers in China which the Company determined were not recoverable as of September 30, 2010. In addition, the Company recorded an adjustment of $1.8 million to increase property, plant and equipment and accrued expenses related to the implementation of the Company’s new enterprise resource planning system.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effects of the restatement on the Company’s unaudited condensed consolidated statements of operations for the three and nine months ended December 31, 2010 are as follows (in thousands, except share data):</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December 31, 2010</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tcPr>
          <w:p>
            <w:pPr>
              <w:ind w:left="260"/>
              <w:spacing w:after="0" w:line="81" w:lineRule="exact"/>
              <w:rPr>
                <w:sz w:val="20"/>
                <w:szCs w:val="20"/>
                <w:color w:val="auto"/>
              </w:rPr>
            </w:pPr>
            <w:r>
              <w:rPr>
                <w:rFonts w:ascii="Arial" w:cs="Arial" w:eastAsia="Arial" w:hAnsi="Arial"/>
                <w:sz w:val="9"/>
                <w:szCs w:val="9"/>
                <w:b w:val="1"/>
                <w:bCs w:val="1"/>
                <w:color w:val="auto"/>
              </w:rPr>
              <w:t>Previously</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Adjustments</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restart"/>
          </w:tcPr>
          <w:p>
            <w:pPr>
              <w:jc w:val="right"/>
              <w:ind w:right="216"/>
              <w:spacing w:after="0"/>
              <w:rPr>
                <w:sz w:val="20"/>
                <w:szCs w:val="20"/>
                <w:color w:val="auto"/>
              </w:rPr>
            </w:pPr>
            <w:r>
              <w:rPr>
                <w:rFonts w:ascii="Arial" w:cs="Arial" w:eastAsia="Arial" w:hAnsi="Arial"/>
                <w:sz w:val="10"/>
                <w:szCs w:val="10"/>
                <w:b w:val="1"/>
                <w:bCs w:val="1"/>
                <w:color w:val="auto"/>
                <w:w w:val="89"/>
              </w:rPr>
              <w:t>Restated</w:t>
            </w:r>
          </w:p>
        </w:tc>
        <w:tc>
          <w:tcPr>
            <w:tcW w:w="0" w:type="dxa"/>
            <w:vAlign w:val="bottom"/>
          </w:tcPr>
          <w:p>
            <w:pPr>
              <w:spacing w:after="0"/>
              <w:rPr>
                <w:sz w:val="1"/>
                <w:szCs w:val="1"/>
                <w:color w:val="auto"/>
              </w:rPr>
            </w:pPr>
          </w:p>
        </w:tc>
      </w:tr>
      <w:tr>
        <w:trPr>
          <w:trHeight w:val="12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0"/>
                <w:szCs w:val="10"/>
                <w:b w:val="1"/>
                <w:bCs w:val="1"/>
                <w:color w:val="auto"/>
              </w:rPr>
              <w:t>Reported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96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$114,193</w:t>
            </w:r>
          </w:p>
        </w:tc>
        <w:tc>
          <w:tcPr>
            <w:tcW w:w="1440" w:type="dxa"/>
            <w:vAlign w:val="bottom"/>
            <w:gridSpan w:val="4"/>
            <w:shd w:val="clear" w:color="auto" w:fill="CCEEFF"/>
          </w:tcPr>
          <w:p>
            <w:pPr>
              <w:jc w:val="right"/>
              <w:ind w:right="254"/>
              <w:spacing w:after="0"/>
              <w:rPr>
                <w:sz w:val="20"/>
                <w:szCs w:val="20"/>
                <w:color w:val="auto"/>
              </w:rPr>
            </w:pPr>
            <w:r>
              <w:rPr>
                <w:rFonts w:ascii="Arial" w:cs="Arial" w:eastAsia="Arial" w:hAnsi="Arial"/>
                <w:sz w:val="13"/>
                <w:szCs w:val="13"/>
                <w:color w:val="auto"/>
              </w:rPr>
              <w:t>$(82,623)</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5"/>
              </w:rPr>
              <w:t>31,570</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30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67,709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color w:val="auto"/>
                <w:w w:val="90"/>
              </w:rPr>
              <w:t>(36,181)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w w:val="95"/>
              </w:rPr>
              <w:t>31,528</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9,057</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(640)</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8,417</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30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15,564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(1,372)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w w:val="95"/>
              </w:rPr>
              <w:t>14,192</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 and operating expenses</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95"/>
              </w:rPr>
              <w:t>92,723</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90"/>
              </w:rPr>
              <w:t>(38,193)</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5"/>
              </w:rPr>
              <w:t>54,530</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Operating (loss) income</w:t>
            </w:r>
          </w:p>
        </w:tc>
        <w:tc>
          <w:tcPr>
            <w:tcW w:w="30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21,470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color w:val="auto"/>
                <w:w w:val="90"/>
              </w:rPr>
              <w:t>(44,430)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156"/>
              <w:spacing w:after="0"/>
              <w:rPr>
                <w:sz w:val="20"/>
                <w:szCs w:val="20"/>
                <w:color w:val="auto"/>
              </w:rPr>
            </w:pPr>
            <w:r>
              <w:rPr>
                <w:rFonts w:ascii="Arial" w:cs="Arial" w:eastAsia="Arial" w:hAnsi="Arial"/>
                <w:sz w:val="13"/>
                <w:szCs w:val="13"/>
                <w:color w:val="auto"/>
                <w:w w:val="90"/>
              </w:rPr>
              <w:t>(22,960)</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income before income tax expense</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95"/>
              </w:rPr>
              <w:t>23,779</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90"/>
              </w:rPr>
              <w:t>(44,432)</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0"/>
              </w:rPr>
              <w:t>(20,653)</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Income tax (benefit) expense</w:t>
            </w:r>
          </w:p>
        </w:tc>
        <w:tc>
          <w:tcPr>
            <w:tcW w:w="30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7,775</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color w:val="auto"/>
                <w:w w:val="90"/>
              </w:rPr>
              <w:t>(10,270)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156"/>
              <w:spacing w:after="0"/>
              <w:rPr>
                <w:sz w:val="20"/>
                <w:szCs w:val="20"/>
                <w:color w:val="auto"/>
              </w:rPr>
            </w:pPr>
            <w:r>
              <w:rPr>
                <w:rFonts w:ascii="Arial" w:cs="Arial" w:eastAsia="Arial" w:hAnsi="Arial"/>
                <w:sz w:val="13"/>
                <w:szCs w:val="13"/>
                <w:color w:val="auto"/>
              </w:rPr>
              <w:t>(2,495)</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96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$ 16,004</w:t>
            </w:r>
          </w:p>
        </w:tc>
        <w:tc>
          <w:tcPr>
            <w:tcW w:w="1440" w:type="dxa"/>
            <w:vAlign w:val="bottom"/>
            <w:gridSpan w:val="4"/>
            <w:shd w:val="clear" w:color="auto" w:fill="CCEEFF"/>
          </w:tcPr>
          <w:p>
            <w:pPr>
              <w:jc w:val="right"/>
              <w:ind w:right="254"/>
              <w:spacing w:after="0"/>
              <w:rPr>
                <w:sz w:val="20"/>
                <w:szCs w:val="20"/>
                <w:color w:val="auto"/>
              </w:rPr>
            </w:pPr>
            <w:r>
              <w:rPr>
                <w:rFonts w:ascii="Arial" w:cs="Arial" w:eastAsia="Arial" w:hAnsi="Arial"/>
                <w:sz w:val="13"/>
                <w:szCs w:val="13"/>
                <w:color w:val="auto"/>
              </w:rPr>
              <w:t>$(34,162)</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0"/>
              </w:rPr>
              <w:t>(18,158)</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Net (loss) earnings per common share — basic</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0.33</w:t>
            </w:r>
          </w:p>
        </w:tc>
        <w:tc>
          <w:tcPr>
            <w:tcW w:w="660" w:type="dxa"/>
            <w:vAlign w:val="bottom"/>
            <w:gridSpan w:val="3"/>
          </w:tcPr>
          <w:p>
            <w:pPr>
              <w:ind w:left="60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(0.71)</w:t>
            </w:r>
          </w:p>
        </w:tc>
        <w:tc>
          <w:tcPr>
            <w:tcW w:w="2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56"/>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earnings per common share — 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0.33</w:t>
            </w:r>
          </w:p>
        </w:tc>
        <w:tc>
          <w:tcPr>
            <w:tcW w:w="660" w:type="dxa"/>
            <w:vAlign w:val="bottom"/>
            <w:gridSpan w:val="3"/>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(0.71)</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268"/>
        </w:trPr>
        <w:tc>
          <w:tcPr>
            <w:tcW w:w="6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6"/>
              </w:rPr>
              <w:t>Nine Months Ended</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5"/>
              </w:rPr>
              <w:t>December 31, 2010</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tcPr>
          <w:p>
            <w:pPr>
              <w:jc w:val="right"/>
              <w:ind w:right="194"/>
              <w:spacing w:after="0" w:line="81" w:lineRule="exact"/>
              <w:rPr>
                <w:sz w:val="20"/>
                <w:szCs w:val="20"/>
                <w:color w:val="auto"/>
              </w:rPr>
            </w:pPr>
            <w:r>
              <w:rPr>
                <w:rFonts w:ascii="Arial" w:cs="Arial" w:eastAsia="Arial" w:hAnsi="Arial"/>
                <w:sz w:val="9"/>
                <w:szCs w:val="9"/>
                <w:b w:val="1"/>
                <w:bCs w:val="1"/>
                <w:color w:val="auto"/>
              </w:rPr>
              <w:t>Previously</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Adjustments</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restart"/>
          </w:tcPr>
          <w:p>
            <w:pPr>
              <w:jc w:val="right"/>
              <w:ind w:right="236"/>
              <w:spacing w:after="0"/>
              <w:rPr>
                <w:sz w:val="20"/>
                <w:szCs w:val="20"/>
                <w:color w:val="auto"/>
              </w:rPr>
            </w:pPr>
            <w:r>
              <w:rPr>
                <w:rFonts w:ascii="Arial" w:cs="Arial" w:eastAsia="Arial" w:hAnsi="Arial"/>
                <w:sz w:val="10"/>
                <w:szCs w:val="10"/>
                <w:b w:val="1"/>
                <w:bCs w:val="1"/>
                <w:color w:val="auto"/>
                <w:w w:val="85"/>
              </w:rPr>
              <w:t>Restated</w:t>
            </w:r>
          </w:p>
        </w:tc>
        <w:tc>
          <w:tcPr>
            <w:tcW w:w="0" w:type="dxa"/>
            <w:vAlign w:val="bottom"/>
          </w:tcPr>
          <w:p>
            <w:pPr>
              <w:spacing w:after="0"/>
              <w:rPr>
                <w:sz w:val="1"/>
                <w:szCs w:val="1"/>
                <w:color w:val="auto"/>
              </w:rPr>
            </w:pPr>
          </w:p>
        </w:tc>
      </w:tr>
      <w:tr>
        <w:trPr>
          <w:trHeight w:val="12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260"/>
              <w:spacing w:after="0"/>
              <w:rPr>
                <w:sz w:val="20"/>
                <w:szCs w:val="20"/>
                <w:color w:val="auto"/>
              </w:rPr>
            </w:pPr>
            <w:r>
              <w:rPr>
                <w:rFonts w:ascii="Arial" w:cs="Arial" w:eastAsia="Arial" w:hAnsi="Arial"/>
                <w:sz w:val="10"/>
                <w:szCs w:val="10"/>
                <w:b w:val="1"/>
                <w:bCs w:val="1"/>
                <w:color w:val="auto"/>
              </w:rPr>
              <w:t>Reported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3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$312,932</w:t>
            </w:r>
          </w:p>
        </w:tc>
        <w:tc>
          <w:tcPr>
            <w:tcW w:w="144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$(86,079)</w:t>
            </w:r>
          </w:p>
        </w:tc>
        <w:tc>
          <w:tcPr>
            <w:tcW w:w="2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216"/>
              <w:spacing w:after="0"/>
              <w:rPr>
                <w:sz w:val="20"/>
                <w:szCs w:val="20"/>
                <w:color w:val="auto"/>
              </w:rPr>
            </w:pPr>
            <w:r>
              <w:rPr>
                <w:rFonts w:ascii="Arial" w:cs="Arial" w:eastAsia="Arial" w:hAnsi="Arial"/>
                <w:sz w:val="13"/>
                <w:szCs w:val="13"/>
                <w:color w:val="auto"/>
              </w:rPr>
              <w:t>$226,853</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960" w:type="dxa"/>
            <w:vAlign w:val="bottom"/>
            <w:gridSpan w:val="2"/>
          </w:tcPr>
          <w:p>
            <w:pPr>
              <w:jc w:val="right"/>
              <w:ind w:right="214"/>
              <w:spacing w:after="0"/>
              <w:rPr>
                <w:sz w:val="20"/>
                <w:szCs w:val="20"/>
                <w:color w:val="auto"/>
              </w:rPr>
            </w:pPr>
            <w:r>
              <w:rPr>
                <w:rFonts w:ascii="Arial" w:cs="Arial" w:eastAsia="Arial" w:hAnsi="Arial"/>
                <w:sz w:val="13"/>
                <w:szCs w:val="13"/>
                <w:color w:val="auto"/>
              </w:rPr>
              <w:t>186,160</w:t>
            </w:r>
          </w:p>
        </w:tc>
        <w:tc>
          <w:tcPr>
            <w:tcW w:w="1440" w:type="dxa"/>
            <w:vAlign w:val="bottom"/>
            <w:gridSpan w:val="4"/>
          </w:tcPr>
          <w:p>
            <w:pPr>
              <w:jc w:val="right"/>
              <w:ind w:right="274"/>
              <w:spacing w:after="0"/>
              <w:rPr>
                <w:sz w:val="20"/>
                <w:szCs w:val="20"/>
                <w:color w:val="auto"/>
              </w:rPr>
            </w:pPr>
            <w:r>
              <w:rPr>
                <w:rFonts w:ascii="Arial" w:cs="Arial" w:eastAsia="Arial" w:hAnsi="Arial"/>
                <w:sz w:val="13"/>
                <w:szCs w:val="13"/>
                <w:color w:val="auto"/>
              </w:rPr>
              <w:t>(36,993)</w:t>
            </w:r>
          </w:p>
        </w:tc>
        <w:tc>
          <w:tcPr>
            <w:tcW w:w="20" w:type="dxa"/>
            <w:vAlign w:val="bottom"/>
          </w:tcPr>
          <w:p>
            <w:pPr>
              <w:spacing w:after="0"/>
              <w:rPr>
                <w:sz w:val="13"/>
                <w:szCs w:val="13"/>
                <w:color w:val="auto"/>
              </w:rPr>
            </w:pPr>
          </w:p>
        </w:tc>
        <w:tc>
          <w:tcPr>
            <w:tcW w:w="1220" w:type="dxa"/>
            <w:vAlign w:val="bottom"/>
            <w:gridSpan w:val="4"/>
          </w:tcPr>
          <w:p>
            <w:pPr>
              <w:jc w:val="right"/>
              <w:ind w:right="216"/>
              <w:spacing w:after="0"/>
              <w:rPr>
                <w:sz w:val="20"/>
                <w:szCs w:val="20"/>
                <w:color w:val="auto"/>
              </w:rPr>
            </w:pPr>
            <w:r>
              <w:rPr>
                <w:rFonts w:ascii="Arial" w:cs="Arial" w:eastAsia="Arial" w:hAnsi="Arial"/>
                <w:sz w:val="13"/>
                <w:szCs w:val="13"/>
                <w:color w:val="auto"/>
              </w:rPr>
              <w:t>149,167</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90"/>
              </w:rPr>
              <w:t>24,249</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(639)</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5"/>
              </w:rPr>
              <w:t>23,610</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30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3"/>
                <w:szCs w:val="13"/>
                <w:color w:val="auto"/>
                <w:w w:val="90"/>
              </w:rPr>
              <w:t>47,874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(1,150)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w w:val="95"/>
              </w:rPr>
              <w:t>46,724</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 and operating expenses</w:t>
            </w:r>
          </w:p>
        </w:tc>
        <w:tc>
          <w:tcPr>
            <w:tcW w:w="9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259,437</w:t>
            </w:r>
          </w:p>
        </w:tc>
        <w:tc>
          <w:tcPr>
            <w:tcW w:w="144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(38,782)</w:t>
            </w:r>
          </w:p>
        </w:tc>
        <w:tc>
          <w:tcPr>
            <w:tcW w:w="2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216"/>
              <w:spacing w:after="0"/>
              <w:rPr>
                <w:sz w:val="20"/>
                <w:szCs w:val="20"/>
                <w:color w:val="auto"/>
              </w:rPr>
            </w:pPr>
            <w:r>
              <w:rPr>
                <w:rFonts w:ascii="Arial" w:cs="Arial" w:eastAsia="Arial" w:hAnsi="Arial"/>
                <w:sz w:val="13"/>
                <w:szCs w:val="13"/>
                <w:color w:val="auto"/>
              </w:rPr>
              <w:t>220,655</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Operating (loss) income</w:t>
            </w:r>
          </w:p>
        </w:tc>
        <w:tc>
          <w:tcPr>
            <w:tcW w:w="30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3"/>
                <w:szCs w:val="13"/>
                <w:color w:val="auto"/>
                <w:w w:val="90"/>
              </w:rPr>
              <w:t>53,495</w:t>
            </w:r>
          </w:p>
        </w:tc>
        <w:tc>
          <w:tcPr>
            <w:tcW w:w="1440" w:type="dxa"/>
            <w:vAlign w:val="bottom"/>
            <w:gridSpan w:val="4"/>
          </w:tcPr>
          <w:p>
            <w:pPr>
              <w:jc w:val="right"/>
              <w:ind w:right="274"/>
              <w:spacing w:after="0"/>
              <w:rPr>
                <w:sz w:val="20"/>
                <w:szCs w:val="20"/>
                <w:color w:val="auto"/>
              </w:rPr>
            </w:pPr>
            <w:r>
              <w:rPr>
                <w:rFonts w:ascii="Arial" w:cs="Arial" w:eastAsia="Arial" w:hAnsi="Arial"/>
                <w:sz w:val="13"/>
                <w:szCs w:val="13"/>
                <w:color w:val="auto"/>
              </w:rPr>
              <w:t>(47,297)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rPr>
              <w:t>6,198</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income before income tax expense</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90"/>
              </w:rPr>
              <w:t>58,789</w:t>
            </w:r>
          </w:p>
        </w:tc>
        <w:tc>
          <w:tcPr>
            <w:tcW w:w="144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(47,297)</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5"/>
              </w:rPr>
              <w:t>11,492</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Income tax (benefit) expense</w:t>
            </w:r>
          </w:p>
        </w:tc>
        <w:tc>
          <w:tcPr>
            <w:tcW w:w="30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3"/>
                <w:szCs w:val="13"/>
                <w:color w:val="auto"/>
                <w:w w:val="90"/>
              </w:rPr>
              <w:t>23,628</w:t>
            </w:r>
          </w:p>
        </w:tc>
        <w:tc>
          <w:tcPr>
            <w:tcW w:w="1440" w:type="dxa"/>
            <w:vAlign w:val="bottom"/>
            <w:gridSpan w:val="4"/>
          </w:tcPr>
          <w:p>
            <w:pPr>
              <w:jc w:val="right"/>
              <w:ind w:right="274"/>
              <w:spacing w:after="0"/>
              <w:rPr>
                <w:sz w:val="20"/>
                <w:szCs w:val="20"/>
                <w:color w:val="auto"/>
              </w:rPr>
            </w:pPr>
            <w:r>
              <w:rPr>
                <w:rFonts w:ascii="Arial" w:cs="Arial" w:eastAsia="Arial" w:hAnsi="Arial"/>
                <w:sz w:val="13"/>
                <w:szCs w:val="13"/>
                <w:color w:val="auto"/>
              </w:rPr>
              <w:t>(10,986)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color w:val="auto"/>
                <w:w w:val="95"/>
              </w:rPr>
              <w:t>12,642</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90"/>
              </w:rPr>
              <w:t>35,161</w:t>
            </w:r>
          </w:p>
        </w:tc>
        <w:tc>
          <w:tcPr>
            <w:tcW w:w="1440" w:type="dxa"/>
            <w:vAlign w:val="bottom"/>
            <w:gridSpan w:val="4"/>
            <w:shd w:val="clear" w:color="auto" w:fill="CCEEFF"/>
          </w:tcPr>
          <w:p>
            <w:pPr>
              <w:jc w:val="right"/>
              <w:ind w:right="274"/>
              <w:spacing w:after="0"/>
              <w:rPr>
                <w:sz w:val="20"/>
                <w:szCs w:val="20"/>
                <w:color w:val="auto"/>
              </w:rPr>
            </w:pPr>
            <w:r>
              <w:rPr>
                <w:rFonts w:ascii="Arial" w:cs="Arial" w:eastAsia="Arial" w:hAnsi="Arial"/>
                <w:sz w:val="13"/>
                <w:szCs w:val="13"/>
                <w:color w:val="auto"/>
              </w:rPr>
              <w:t>$ (36,311)</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157"/>
        </w:trPr>
        <w:tc>
          <w:tcPr>
            <w:tcW w:w="6340" w:type="dxa"/>
            <w:vAlign w:val="bottom"/>
            <w:gridSpan w:val="2"/>
          </w:tcPr>
          <w:p>
            <w:pPr>
              <w:spacing w:after="0"/>
              <w:rPr>
                <w:sz w:val="20"/>
                <w:szCs w:val="20"/>
                <w:color w:val="auto"/>
              </w:rPr>
            </w:pPr>
            <w:r>
              <w:rPr>
                <w:rFonts w:ascii="Arial" w:cs="Arial" w:eastAsia="Arial" w:hAnsi="Arial"/>
                <w:sz w:val="13"/>
                <w:szCs w:val="13"/>
                <w:color w:val="auto"/>
              </w:rPr>
              <w:t>Net (loss) earnings per common share — basic</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4"/>
              <w:spacing w:after="0"/>
              <w:rPr>
                <w:sz w:val="20"/>
                <w:szCs w:val="20"/>
                <w:color w:val="auto"/>
              </w:rPr>
            </w:pPr>
            <w:r>
              <w:rPr>
                <w:rFonts w:ascii="Arial" w:cs="Arial" w:eastAsia="Arial" w:hAnsi="Arial"/>
                <w:sz w:val="13"/>
                <w:szCs w:val="13"/>
                <w:color w:val="auto"/>
              </w:rPr>
              <w:t>0.76</w:t>
            </w:r>
          </w:p>
        </w:tc>
        <w:tc>
          <w:tcPr>
            <w:tcW w:w="660" w:type="dxa"/>
            <w:vAlign w:val="bottom"/>
            <w:gridSpan w:val="3"/>
          </w:tcPr>
          <w:p>
            <w:pPr>
              <w:ind w:left="58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(0.78)</w:t>
            </w:r>
          </w:p>
        </w:tc>
        <w:tc>
          <w:tcPr>
            <w:tcW w:w="2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56"/>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6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earnings per common share — 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0.76</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(0.78)</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Included in the restatement adjustments for the three months ended December 31, 2010, is an increase in the provision for excess and obsolete inventory of $2.1 million and a write-off of certain prepaid value added taxes of $0.1 million that relate to amounts due from certain of its customers in China which the Company determined were not recoverable as of December 31, 2010. Additionally, we determined that the achievement of certain Company performance measures would not be met as of December 31, 2010 with revenue for certain customers now being recorded on a cash basis and we recorded a restatement adjustment to reduce our bonus accrual by $1.4 million and stock-based compensation expenses by $1.2 million. The Company also recorded an adjustment of $0.6 million to increase property, plant and equipment and accrued expenses related to the implementation of the Company’s new enterprise resource planning system. In addition, the Company identified and corrected minor errors in the unaudited condensed consolidated statement of cash flows for the nine months ended December 31, 2010.</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4">
              <w:r>
                <w:rPr>
                  <w:rFonts w:ascii="Arial" w:cs="Arial" w:eastAsia="Arial" w:hAnsi="Arial"/>
                  <w:sz w:val="13"/>
                  <w:szCs w:val="13"/>
                  <w:b w:val="1"/>
                  <w:bCs w:val="1"/>
                  <w:color w:val="0000EE"/>
                  <w:w w:val="87"/>
                </w:rPr>
                <w:t>Table of Contents</w:t>
              </w:r>
            </w:hyperlink>
          </w:p>
        </w:tc>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3"/>
                <w:szCs w:val="13"/>
                <w:b w:val="1"/>
                <w:bCs w:val="1"/>
                <w:color w:val="auto"/>
              </w:rPr>
              <w:t>Fiscal 2010 Annual Report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00" w:type="dxa"/>
            <w:vAlign w:val="bottom"/>
          </w:tcPr>
          <w:p>
            <w:pPr>
              <w:ind w:left="100"/>
              <w:spacing w:after="0"/>
              <w:rPr>
                <w:sz w:val="20"/>
                <w:szCs w:val="20"/>
                <w:color w:val="auto"/>
              </w:rPr>
            </w:pPr>
            <w:r>
              <w:rPr>
                <w:rFonts w:ascii="Arial" w:cs="Arial" w:eastAsia="Arial" w:hAnsi="Arial"/>
                <w:sz w:val="13"/>
                <w:szCs w:val="13"/>
                <w:color w:val="auto"/>
                <w:w w:val="98"/>
              </w:rPr>
              <w:t>The Company recorded the following material charges in the fourth quarter of its consolidated financial statements for the fiscal year ended March 31, 2011:</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Impact on loss before income tax expense for the quarterly period ended March 31, 2011:</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200" w:type="dxa"/>
            <w:vAlign w:val="bottom"/>
            <w:gridSpan w:val="2"/>
          </w:tcPr>
          <w:p>
            <w:pPr>
              <w:ind w:left="140"/>
              <w:spacing w:after="0"/>
              <w:rPr>
                <w:sz w:val="20"/>
                <w:szCs w:val="20"/>
                <w:color w:val="auto"/>
              </w:rPr>
            </w:pPr>
            <w:r>
              <w:rPr>
                <w:rFonts w:ascii="Arial" w:cs="Arial" w:eastAsia="Arial" w:hAnsi="Arial"/>
                <w:sz w:val="13"/>
                <w:szCs w:val="13"/>
                <w:color w:val="auto"/>
              </w:rPr>
              <w:t>Increase in provision for excess and obsolete inventory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61,216</w:t>
            </w: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Loss on purchase commitments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38,763</w:t>
            </w:r>
          </w:p>
        </w:tc>
      </w:tr>
      <w:tr>
        <w:trPr>
          <w:trHeight w:val="157"/>
        </w:trPr>
        <w:tc>
          <w:tcPr>
            <w:tcW w:w="680" w:type="dxa"/>
            <w:vAlign w:val="bottom"/>
          </w:tcPr>
          <w:p>
            <w:pPr>
              <w:spacing w:after="0"/>
              <w:rPr>
                <w:sz w:val="13"/>
                <w:szCs w:val="13"/>
                <w:color w:val="auto"/>
              </w:rPr>
            </w:pPr>
          </w:p>
        </w:tc>
        <w:tc>
          <w:tcPr>
            <w:tcW w:w="9200" w:type="dxa"/>
            <w:vAlign w:val="bottom"/>
            <w:gridSpan w:val="2"/>
          </w:tcPr>
          <w:p>
            <w:pPr>
              <w:ind w:left="140"/>
              <w:spacing w:after="0"/>
              <w:rPr>
                <w:sz w:val="20"/>
                <w:szCs w:val="20"/>
                <w:color w:val="auto"/>
              </w:rPr>
            </w:pPr>
            <w:r>
              <w:rPr>
                <w:rFonts w:ascii="Arial" w:cs="Arial" w:eastAsia="Arial" w:hAnsi="Arial"/>
                <w:sz w:val="13"/>
                <w:szCs w:val="13"/>
                <w:color w:val="auto"/>
              </w:rPr>
              <w:t>Goodwill and long-lived asset impairment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49,955</w:t>
            </w:r>
          </w:p>
        </w:tc>
      </w:tr>
      <w:tr>
        <w:trPr>
          <w:trHeight w:val="157"/>
        </w:trPr>
        <w:tc>
          <w:tcPr>
            <w:tcW w:w="680" w:type="dxa"/>
            <w:vAlign w:val="bottom"/>
          </w:tcPr>
          <w:p>
            <w:pPr>
              <w:spacing w:after="0"/>
              <w:rPr>
                <w:sz w:val="13"/>
                <w:szCs w:val="13"/>
                <w:color w:val="auto"/>
              </w:rPr>
            </w:pPr>
          </w:p>
        </w:tc>
        <w:tc>
          <w:tcPr>
            <w:tcW w:w="9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Write-off of prepaid value added taxes</w:t>
            </w: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5,355</w:t>
            </w:r>
          </w:p>
        </w:tc>
        <w:tc>
          <w:tcPr>
            <w:tcW w:w="100" w:type="dxa"/>
            <w:vAlign w:val="bottom"/>
            <w:shd w:val="clear" w:color="auto" w:fill="CCEEFF"/>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9200" w:type="dxa"/>
            <w:vAlign w:val="bottom"/>
            <w:gridSpan w:val="2"/>
          </w:tcPr>
          <w:p>
            <w:pPr>
              <w:spacing w:after="0"/>
              <w:rPr>
                <w:sz w:val="20"/>
                <w:szCs w:val="20"/>
                <w:color w:val="auto"/>
              </w:rPr>
            </w:pPr>
            <w:r>
              <w:rPr>
                <w:rFonts w:ascii="Arial" w:cs="Arial" w:eastAsia="Arial" w:hAnsi="Arial"/>
                <w:sz w:val="13"/>
                <w:szCs w:val="13"/>
                <w:color w:val="auto"/>
              </w:rPr>
              <w:t>Total impact on loss before income tax expenses for the quarterly period ended March 31, 2011</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155,289</w:t>
            </w:r>
          </w:p>
        </w:tc>
        <w:tc>
          <w:tcPr>
            <w:tcW w:w="100" w:type="dxa"/>
            <w:vAlign w:val="bottom"/>
          </w:tcPr>
          <w:p>
            <w:pPr>
              <w:spacing w:after="0"/>
              <w:rPr>
                <w:sz w:val="13"/>
                <w:szCs w:val="13"/>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discussed above, prior to April 1, 2011, we operated and reported our financial results to the Chief Executive Officer in two reportable business units: AMSC Power Systems and AMSC Superconductors.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AMSC Power Systems business unit designs, develops, manufactures and markets power electronic products, systems and solutions that generate and rapidly switch, control and modulate power. This business unit also provides proprietary wind turbine designs and extensive support services to wind turbine manufacturers. Our AMSC Power Systems business unit offers products that meet the needs of customers in a broad array of industries, including the transmission and distribution, wind power and manufacturing industries</w:t>
      </w:r>
    </w:p>
    <w:p>
      <w:pPr>
        <w:spacing w:after="0" w:line="5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AMSC Superconductors business unit designs, develops, manufactures and sells Amperium</w:t>
      </w:r>
      <w:r>
        <w:rPr>
          <w:rFonts w:ascii="Arial" w:cs="Arial" w:eastAsia="Arial" w:hAnsi="Arial"/>
          <w:sz w:val="7"/>
          <w:szCs w:val="7"/>
          <w:color w:val="auto"/>
        </w:rPr>
        <w:t>TM</w:t>
      </w:r>
      <w:r>
        <w:rPr>
          <w:rFonts w:ascii="Arial" w:cs="Arial" w:eastAsia="Arial" w:hAnsi="Arial"/>
          <w:sz w:val="12"/>
          <w:szCs w:val="12"/>
          <w:color w:val="auto"/>
        </w:rPr>
        <w:t xml:space="preserve"> wire and products made with Amperium</w:t>
      </w:r>
      <w:r>
        <w:rPr>
          <w:rFonts w:ascii="Arial" w:cs="Arial" w:eastAsia="Arial" w:hAnsi="Arial"/>
          <w:sz w:val="7"/>
          <w:szCs w:val="7"/>
          <w:color w:val="auto"/>
        </w:rPr>
        <w:t>TM</w:t>
      </w:r>
      <w:r>
        <w:rPr>
          <w:rFonts w:ascii="Arial" w:cs="Arial" w:eastAsia="Arial" w:hAnsi="Arial"/>
          <w:sz w:val="12"/>
          <w:szCs w:val="12"/>
          <w:color w:val="auto"/>
        </w:rPr>
        <w:t xml:space="preserve"> wire. We sell wire to original equipment manufacturers (OEMs) that incorporate Amperium</w:t>
      </w:r>
      <w:r>
        <w:rPr>
          <w:rFonts w:ascii="Arial" w:cs="Arial" w:eastAsia="Arial" w:hAnsi="Arial"/>
          <w:sz w:val="7"/>
          <w:szCs w:val="7"/>
          <w:color w:val="auto"/>
        </w:rPr>
        <w:t>TM</w:t>
      </w:r>
      <w:r>
        <w:rPr>
          <w:rFonts w:ascii="Arial" w:cs="Arial" w:eastAsia="Arial" w:hAnsi="Arial"/>
          <w:sz w:val="12"/>
          <w:szCs w:val="12"/>
          <w:color w:val="auto"/>
        </w:rPr>
        <w:t xml:space="preserve"> wire into value-added products, which are, in turn, sold to electric utilities, ship integrators and industrial end-users, among others. We also develop power cable systems, fault current limiters and rotating machines (including electric motors, generators and synchronous condensers) based on our Amperium</w:t>
      </w:r>
      <w:r>
        <w:rPr>
          <w:rFonts w:ascii="Arial" w:cs="Arial" w:eastAsia="Arial" w:hAnsi="Arial"/>
          <w:sz w:val="7"/>
          <w:szCs w:val="7"/>
          <w:color w:val="auto"/>
        </w:rPr>
        <w:t>TM</w:t>
      </w:r>
      <w:r>
        <w:rPr>
          <w:rFonts w:ascii="Arial" w:cs="Arial" w:eastAsia="Arial" w:hAnsi="Arial"/>
          <w:sz w:val="12"/>
          <w:szCs w:val="12"/>
          <w:color w:val="auto"/>
        </w:rPr>
        <w:t xml:space="preserve"> wire. In addition, the business unit manages projects that utilize these value-added HTS products to create market demand for Amperium</w:t>
      </w:r>
      <w:r>
        <w:rPr>
          <w:rFonts w:ascii="Arial" w:cs="Arial" w:eastAsia="Arial" w:hAnsi="Arial"/>
          <w:sz w:val="7"/>
          <w:szCs w:val="7"/>
          <w:color w:val="auto"/>
        </w:rPr>
        <w:t>TM</w:t>
      </w:r>
      <w:r>
        <w:rPr>
          <w:rFonts w:ascii="Arial" w:cs="Arial" w:eastAsia="Arial" w:hAnsi="Arial"/>
          <w:sz w:val="12"/>
          <w:szCs w:val="12"/>
          <w:color w:val="auto"/>
        </w:rPr>
        <w:t xml:space="preserve"> wire.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Years Ended March 31, 2011 and March 31, 2010</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decreased by 9% to $286.6 million in fiscal 2010 from $316.0 million for fiscal 2009. Our revenues are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276,440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304,276</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10,163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11,679</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286,603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315,955</w:t>
            </w: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Revenues in our AMSC Power Systems business unit consist of revenues from wind turbine electrical systems and core components, wind turbine license and development contracts as well as D-VAR</w:t>
      </w:r>
      <w:r>
        <w:rPr>
          <w:rFonts w:ascii="Arial" w:cs="Arial" w:eastAsia="Arial" w:hAnsi="Arial"/>
          <w:sz w:val="11"/>
          <w:szCs w:val="11"/>
          <w:color w:val="auto"/>
        </w:rPr>
        <w:t>®</w:t>
      </w:r>
      <w:r>
        <w:rPr>
          <w:rFonts w:ascii="Arial" w:cs="Arial" w:eastAsia="Arial" w:hAnsi="Arial"/>
          <w:sz w:val="13"/>
          <w:szCs w:val="13"/>
          <w:color w:val="auto"/>
        </w:rPr>
        <w:t>, D-VAR</w:t>
      </w:r>
      <w:r>
        <w:rPr>
          <w:rFonts w:ascii="Arial" w:cs="Arial" w:eastAsia="Arial" w:hAnsi="Arial"/>
          <w:sz w:val="11"/>
          <w:szCs w:val="11"/>
          <w:color w:val="auto"/>
        </w:rPr>
        <w:t>®</w:t>
      </w:r>
      <w:r>
        <w:rPr>
          <w:rFonts w:ascii="Arial" w:cs="Arial" w:eastAsia="Arial" w:hAnsi="Arial"/>
          <w:sz w:val="13"/>
          <w:szCs w:val="13"/>
          <w:color w:val="auto"/>
        </w:rPr>
        <w:t xml:space="preserve"> RT, SVC and PowerModule</w:t>
      </w:r>
      <w:r>
        <w:rPr>
          <w:rFonts w:ascii="Arial" w:cs="Arial" w:eastAsia="Arial" w:hAnsi="Arial"/>
          <w:sz w:val="7"/>
          <w:szCs w:val="7"/>
          <w:color w:val="auto"/>
        </w:rPr>
        <w:t>TM</w:t>
      </w:r>
      <w:r>
        <w:rPr>
          <w:rFonts w:ascii="Arial" w:cs="Arial" w:eastAsia="Arial" w:hAnsi="Arial"/>
          <w:sz w:val="13"/>
          <w:szCs w:val="13"/>
          <w:color w:val="auto"/>
        </w:rPr>
        <w:t xml:space="preserve"> product sales, service contracts and consulting arrangements. We also engineer, install and commission our products on a turnkey basis for some customers. Our AMSC Power Systems business unit accounted for 96% of total revenues for both fiscal 2010 and 2009. Revenues in the AMSC Power Systems business unit decreased 9% to $276.4 million in fiscal 2010 from $304.3 million in fiscal 2009. The decrease in AMSC Power Systems business unit revenues were negatively impacted by the March 31, 2011 refusal by Sinovel to accept contracted shipments of 1.5 megawatt (MW) and 3 MW wind turbine core electrical components and spare parts that we were prepared to deliver with a potential revenue value of approximately $65.2 million. Further, AMSC Power Systems revenues were negatively impacted by the net effect of restatement adjustments described above. In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conjunction with the application of cash basis accounting for certain of our other customers in China beginning in the three months ended September 30, 2010 and Sinovel beginning in the three months ended December 31, 2010, cash received is applied first against accounts receivable balances, as in the case of Sinovel as of September 30, 2010, then costs of shipments (inventory and value added taxes) before recognizing any gross margin. This resulted in decreases in revenue recognized from Sinovel and certain of our other customers in China during the fiscal year ended March 31, 2011. Revenues from Sinovel were $194.8 million and $221.8 million in fiscal 2010 and 2009, respectively. As discussed above, we are now operating our business assuming that Sinovel will not be a customer.</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Based on the average Euro and Renminbi exchange rates in fiscal 2010, revenues denominated in these foreign currencies translated into U.S. dollars were $2.1 million higher compared to the translation of these revenues using the average exchange rates of these currencies for fiscal 2009.</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accounted for 4% revenues for both fiscal 2010 and 2009. AMSC Superconductors revenue decreased 13% to $10.2 million in fiscal 2010 from $11.7 million in fiscal 2009. Revenues from significant AMSC Superconductors government-funded contract revenues are summarized as follows (in thousands):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4"/>
              </w:rPr>
              <w:t>Revenue Earned</w:t>
            </w:r>
          </w:p>
        </w:tc>
        <w:tc>
          <w:tcPr>
            <w:tcW w:w="120" w:type="dxa"/>
            <w:vAlign w:val="bottom"/>
          </w:tcPr>
          <w:p>
            <w:pPr>
              <w:spacing w:after="0"/>
              <w:rPr>
                <w:sz w:val="10"/>
                <w:szCs w:val="1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5"/>
              </w:rPr>
              <w:t>Revenue Earned for</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the Year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 Name</w:t>
            </w:r>
          </w:p>
        </w:tc>
        <w:tc>
          <w:tcPr>
            <w:tcW w:w="140" w:type="dxa"/>
            <w:vAlign w:val="bottom"/>
          </w:tcPr>
          <w:p>
            <w:pPr>
              <w:spacing w:after="0"/>
              <w:rPr>
                <w:sz w:val="10"/>
                <w:szCs w:val="10"/>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Expected Total</w:t>
            </w:r>
          </w:p>
        </w:tc>
        <w:tc>
          <w:tcPr>
            <w:tcW w:w="160" w:type="dxa"/>
            <w:vAlign w:val="bottom"/>
          </w:tcPr>
          <w:p>
            <w:pPr>
              <w:spacing w:after="0"/>
              <w:rPr>
                <w:sz w:val="10"/>
                <w:szCs w:val="1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through</w:t>
            </w:r>
          </w:p>
        </w:tc>
        <w:tc>
          <w:tcPr>
            <w:tcW w:w="120" w:type="dxa"/>
            <w:vAlign w:val="bottom"/>
          </w:tcPr>
          <w:p>
            <w:pPr>
              <w:spacing w:after="0"/>
              <w:rPr>
                <w:sz w:val="10"/>
                <w:szCs w:val="10"/>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5"/>
              </w:rPr>
              <w:t>Ended March 31,</w:t>
            </w:r>
          </w:p>
        </w:tc>
        <w:tc>
          <w:tcPr>
            <w:tcW w:w="0" w:type="dxa"/>
            <w:vAlign w:val="bottom"/>
          </w:tcPr>
          <w:p>
            <w:pPr>
              <w:spacing w:after="0"/>
              <w:rPr>
                <w:sz w:val="1"/>
                <w:szCs w:val="1"/>
                <w:color w:val="auto"/>
              </w:rPr>
            </w:pPr>
          </w:p>
        </w:tc>
      </w:tr>
      <w:tr>
        <w:trPr>
          <w:trHeight w:val="108"/>
        </w:trPr>
        <w:tc>
          <w:tcPr>
            <w:tcW w:w="5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ind w:left="80"/>
              <w:spacing w:after="0" w:line="108" w:lineRule="exact"/>
              <w:rPr>
                <w:sz w:val="20"/>
                <w:szCs w:val="20"/>
                <w:color w:val="auto"/>
              </w:rPr>
            </w:pPr>
            <w:r>
              <w:rPr>
                <w:rFonts w:ascii="Arial" w:cs="Arial" w:eastAsia="Arial" w:hAnsi="Arial"/>
                <w:sz w:val="10"/>
                <w:szCs w:val="10"/>
                <w:b w:val="1"/>
                <w:bCs w:val="1"/>
                <w:color w:val="auto"/>
              </w:rPr>
              <w:t>Contract Value</w:t>
            </w:r>
          </w:p>
        </w:tc>
        <w:tc>
          <w:tcPr>
            <w:tcW w:w="160" w:type="dxa"/>
            <w:vAlign w:val="bottom"/>
          </w:tcPr>
          <w:p>
            <w:pPr>
              <w:spacing w:after="0"/>
              <w:rPr>
                <w:sz w:val="9"/>
                <w:szCs w:val="9"/>
                <w:color w:val="auto"/>
              </w:rPr>
            </w:pPr>
          </w:p>
        </w:tc>
        <w:tc>
          <w:tcPr>
            <w:tcW w:w="14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5"/>
              </w:rPr>
              <w:t>March 31, 2011</w:t>
            </w: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79"/>
              <w:spacing w:after="0" w:line="10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77"/>
              <w:spacing w:after="0" w:line="10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HYDRA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24,908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10,552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LIPA I and II</w:t>
            </w:r>
          </w:p>
        </w:tc>
        <w:tc>
          <w:tcPr>
            <w:tcW w:w="14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40,141</w:t>
            </w:r>
          </w:p>
        </w:tc>
        <w:tc>
          <w:tcPr>
            <w:tcW w:w="16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38,401</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3,616</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DOE-FCL</w:t>
            </w: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7,898</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6,553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NAVSEA Motor Study</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6,511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6,492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79,458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61,998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7,072</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significant projects represented 73% and 61% of our AMSC Superconductors business unit’s revenue for fiscal 2010 and 2009, respectively.</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Project HYDRA is a project with Consolidated Edison, Inc. which is being partially funded by the Department of Homeland Security (“DHS”). DHS is expected to invest up to a total of $24.9 million in the development of a new HTS power grid technology called FaultBlocker</w:t>
      </w:r>
      <w:r>
        <w:rPr>
          <w:rFonts w:ascii="Arial" w:cs="Arial" w:eastAsia="Arial" w:hAnsi="Arial"/>
          <w:sz w:val="7"/>
          <w:szCs w:val="7"/>
          <w:color w:val="auto"/>
        </w:rPr>
        <w:t>TM</w:t>
      </w:r>
      <w:r>
        <w:rPr>
          <w:rFonts w:ascii="Arial" w:cs="Arial" w:eastAsia="Arial" w:hAnsi="Arial"/>
          <w:sz w:val="12"/>
          <w:szCs w:val="12"/>
          <w:color w:val="auto"/>
        </w:rPr>
        <w:t xml:space="preserve"> cable systems. FaultBlocker</w:t>
      </w:r>
      <w:r>
        <w:rPr>
          <w:rFonts w:ascii="Arial" w:cs="Arial" w:eastAsia="Arial" w:hAnsi="Arial"/>
          <w:sz w:val="7"/>
          <w:szCs w:val="7"/>
          <w:color w:val="auto"/>
        </w:rPr>
        <w:t>TM</w:t>
      </w:r>
      <w:r>
        <w:rPr>
          <w:rFonts w:ascii="Arial" w:cs="Arial" w:eastAsia="Arial" w:hAnsi="Arial"/>
          <w:sz w:val="12"/>
          <w:szCs w:val="12"/>
          <w:color w:val="auto"/>
        </w:rPr>
        <w:t xml:space="preserve"> cable systems are designed to utilize customized Amperium</w:t>
      </w:r>
      <w:r>
        <w:rPr>
          <w:rFonts w:ascii="Arial" w:cs="Arial" w:eastAsia="Arial" w:hAnsi="Arial"/>
          <w:sz w:val="7"/>
          <w:szCs w:val="7"/>
          <w:color w:val="auto"/>
        </w:rPr>
        <w:t>TM</w:t>
      </w:r>
      <w:r>
        <w:rPr>
          <w:rFonts w:ascii="Arial" w:cs="Arial" w:eastAsia="Arial" w:hAnsi="Arial"/>
          <w:sz w:val="12"/>
          <w:szCs w:val="12"/>
          <w:color w:val="auto"/>
        </w:rPr>
        <w:t xml:space="preserve"> HTS wires, and ancillary controls to deliver more power through the grid while also being able to suppress power surges that can disrupt service. Of the total $24.9 million in funding expected from DHS, it has committed funding of $12.6 million to us as of March 31, 2011. Consolidated Edison and Southwire Company are our subcontractors on this project.</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LIPA I, completed in the first quarter of fiscal 2009, was a project to install an HTS power cable system at transmission voltage using our first generation HTS wire for the Long Island Power Authority. LIPA II is a project to install an HTS power cable using our Amperium</w:t>
      </w:r>
      <w:r>
        <w:rPr>
          <w:rFonts w:ascii="Arial" w:cs="Arial" w:eastAsia="Arial" w:hAnsi="Arial"/>
          <w:sz w:val="7"/>
          <w:szCs w:val="7"/>
          <w:color w:val="auto"/>
        </w:rPr>
        <w:t>TM</w:t>
      </w:r>
      <w:r>
        <w:rPr>
          <w:rFonts w:ascii="Arial" w:cs="Arial" w:eastAsia="Arial" w:hAnsi="Arial"/>
          <w:sz w:val="13"/>
          <w:szCs w:val="13"/>
          <w:color w:val="auto"/>
        </w:rPr>
        <w:t xml:space="preserve">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 and Gross Margin</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Cost of revenues increased by 53% to $308.2 million for fiscal 2010, compared to $201.0 million for fiscal 2009. Gross margin decreased to (7.5)% in fiscal 2010 from 36.4% in fiscal 2009. The significant decrease in gross margin in fiscal 2010 as compared to fiscal 2009 was primarily attributed to the restatement adjustments, inventory write-offs and losses on adverse purchase commitments described above. In conjunction with the application of cash basis accounting for Sinovel and certain of our other customers in China beginning in the three months ended December 31, 2010, cash received is applied first against accounts receivable balances, as in the case of Sinovel as of September 30, 2010, then costs of shipments (inventory and value added taxes) before recognizing any gross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margin. This resulted in decreases in cost of revenues and gross margin from Sinovel and certain of our other customers in China during the fiscal year ended March 31, 2011.</w:t>
      </w:r>
    </w:p>
    <w:p>
      <w:pPr>
        <w:spacing w:after="0" w:line="10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Based on the average Euro and Renminbi exchange rates in fiscal 2010, costs of revenues denominated in these foreign currencies translated into U.S. dollars were $3.8 million higher compared to the translation of these cost of revenues using the average exchange rates of these currencies for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61"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R&amp;D expenses per consolidated statements of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23,593</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R&amp;D expenditures reclassified as cost of revenues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18,012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14,869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R&amp;D expenditures offset by cost-sharing funding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Aggregated R&amp;D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50,969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39,433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R&amp;D expenses (exclusive of amounts classified as cost of revenues and amounts offset by cost-sharing funding) increased by 38% to $32.5 million, or 11% of revenue, for fiscal 2010 from $23.6 million, or 7% of revenue, for fiscal 2009. The increase in R&amp;D expenses was driven primarily by increased headcount and related labor spending, as well as added material and overhead spending to support new product development in our AMSC Power Systems business unit. The increase in R&amp;D expenditures reclassified to cost of revenue was a result of increased efforts under license and development contracts for wind turbine designs at AMSC Windtec compared to the prior year. Aggregated R&amp;D expenses, which include amounts classified as cost of revenues and amounts offset by cost-sharing funding, increased 29% to $51.0 million, or 18% of revenue, for fiscal 2010, compared to $39.4 million, or 12% of revenue, for fiscal 2009. The increase in fiscal 2010 was driven primarily by the net impact of the factors described above.</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present aggregated R&amp;D, which is a measure (a “non-GAAP measure”) not calculated in accordance with generally accepted accounting principles in the United States of America (“GAAP”), because we believe it provides useful information on our aggregate R&amp;D spending and because R&amp;D expenses as reported on the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SG&amp;A expenses increased by 43% to $72.4 million, or 25% of revenue, in fiscal 2010 from $50.4 million, or 16% of revenue, in fiscal 2009. The increase in SG&amp;A expenses was primarily attributed to write-offs of certain prepaid value added taxes due to collectability not being reasonably assured for prior shipments to certain customers in China, as well as higher labor and related costs driven by headcount growth and costs incurred related to the implementation of our new enterprise resource planning system. Also included in the accompanying consolidated statements of operations for the year ended March 31, 2011 are acquisition-related costs of approximately $1.0 million related to the planned acquisition of The Switch.</w:t>
      </w:r>
    </w:p>
    <w:p>
      <w:pPr>
        <w:spacing w:after="0" w:line="5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taken certain actions to reduce our expenses and are in the process of implementing plans to better align spending with near-term revenues while continuing to maintain a high level of service and support for our customers. From April 1, 2011 through the date of this filing, we have reduced our global workforce by approximately 30%, which is expected to result in annual savings of approximately $30 million. For the portion of these actions that occurred in the second quarter of fiscal year 2011, we expect to recognize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restructuring charges of $3 million to $4 million. These charges primarily relate to severance costs and are expected to be paid through fiscal 2012.</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acquisition related intangibles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recorded $1.5 million in fiscal 2010 and $1.8 million in fiscal 2009 in amortization related to our contractual relationships/backlog, customer relationships, core technology and know-how, trade names and trademark intangible assets. These intangible assets are a result of our AMSC Windtec and PQS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impairments</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performed our annual assessment of goodwill of the Windtec and PSNA reporting units on March 31, 2011. As a result of reductions in our revenue and operating forecasts related to Sinovel and certain of our other customers in China, we determined that the goodwill related to both the Windtec and PSNA reporting units was fully impaired. Accordingly, we recorded impairment charges of $42.1 million and $6.9 million for the Windtec and PSNA reporting units, respectively, during the fourth quarter of fiscal 2010.</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connection with the assessment of the goodwill of the Windtec and PSNA reporting units, we performed an evaluation of our long-lived assets and intangible assets for potential impairment during the fourth quarter of fiscal 2010. As a result of reductions in our revenue and operating forecasts related to Sinovel and certain of our other customers in China, we determined that certain of our property, plant and equipment and intangible assets were impaired. Accordingly, we recorded impairment charges of $1.0 million during the fourth quarter of fiscal 2010.</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 Aggregate restructuring charges associated with the Fiscal 2007 Plan were $7.9 million, of which $0.5 million was recorded in fiscal 2009 related to the closure of our Westborough, Massachusetts facility. All restructuring charges associated with the Fiscal 2007 Plan have resulted in cash disbursements and had been completed at the end of the second quarter of fiscal 2009. Cash paid under this plan was $0 in fiscal 2010 and $2.6 million in fiscal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income is summarized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March 31,</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(138,490)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77,604</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AMSC Superconductors</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(25,911)</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(24,432)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(13,582)</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(14,511)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(177,983)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38,661</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AMSC Power Systems generated an operating loss of $138.5 in fiscal 2010 compared to operating income of $77.6 million in fiscal 2009. The decrease in fiscal 2010 was primarily attributable to Sinovel’s refusal to accept shipments on March 31, 2011 and the restatement adjustments and the material charges recorded in the fourth quarter of fiscal 2010, as described above. In conjunction with the application of cash basis accounting for Sinovel as of September 30, 2010, and certain of our other customers in China beginning in the three months ended December 31, 2010, cash received is applied first against accounts receivable balances, as in the case of Sinovel, then costs of shipments (inventory and value added taxes) before recognizing any gross margin.</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Superconductors operating loss increased to $25.9 million in fiscal 2010 from $24.4 million in fiscal 2009. The increase in operating loss for fiscal 2010 is primarily due to lower sales, as described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Unallocated corporate expenses include stock-based compensation expense of $13.4 million for fiscal 2010 compared to $13.5 million for fiscal 2009. Unallocated corporate expenses also include $0.5 million of restructuring charges in fiscal 2009 related primarily to the closure of our facility in Westborough, Massachusetts.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 net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Interest income, net, was $0.8 million for both fiscal years 2010 and 2009, respectively. Due to recent economic conditions and the United States monetary policy intended to promote growth, the yields of our interest bearing assets are low as compared to prior periods.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Other income (expense), net, was $6.8 million in fiscal 2010, compared to a loss, net of $2.7 million in fiscal 2009. The increase in other income (expense), net was due primarily to net foreign exchange and hedging gains in fiscal 2010, compared to losses in fiscal 2009. The primary components of other income (expense), net include net foreign currency translation and hedging gains, of $8.0 million and aggregate losses on minority investments in Blade Dynamics and Tres Amigas of $1.4 million for fiscal 2010.</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recorded income tax expense of $16.0 million during fiscal 2010 and $20.5 million during fiscal 2009. Income tax expense in both periods was driven by income generated in foreign jurisdictions. Certain asset write-offs in our foreign jurisdictions such as goodwill are considered permanent differences and are not tax deductible. Other asset write-offs, such as inventory and prepaid value added taxes in China, are not currently deductible and result in deferred tax assets. Due to uncertainty around the realizability of these deferred tax assets, they have been fully reserved as of March 31, 2011.</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refer to the “Risk Factors” section in Part I, Item 1A for a discussion of certain factors that may affect our future results of operations and financial condition.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Years Ended March 31, 2010 and March 31,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increased by 73% to $316.0 million in fiscal 2009, from $182.8 million for fiscal 2008. Our revenues are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304,276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168,008</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11,679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14,747</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315,955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182,755</w:t>
            </w: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Sales to Sinovel represented 70% and 67% of our total revenues for fiscal 2009 and 2008, respectively.</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AMSC Power Systems business unit accounted for 96% of total revenues for fiscal 2009 and 92% of total revenues in fiscal 2008. Revenues in the AMSC Power Systems business unit increased 81% to $304.3 million in fiscal 2009 from $168.0 million in fiscal 2008. The increases in our AMSC Power Systems business unit revenues were primarily due to higher sales of wind turbine electrical systems and core components, primarily to customers in China, higher D-VAR</w:t>
      </w:r>
      <w:r>
        <w:rPr>
          <w:rFonts w:ascii="Arial" w:cs="Arial" w:eastAsia="Arial" w:hAnsi="Arial"/>
          <w:sz w:val="10"/>
          <w:szCs w:val="10"/>
          <w:color w:val="auto"/>
        </w:rPr>
        <w:t>®</w:t>
      </w:r>
      <w:r>
        <w:rPr>
          <w:rFonts w:ascii="Arial" w:cs="Arial" w:eastAsia="Arial" w:hAnsi="Arial"/>
          <w:sz w:val="12"/>
          <w:szCs w:val="12"/>
          <w:color w:val="auto"/>
        </w:rPr>
        <w:t xml:space="preserve"> system shipments, as well as shipments of our D-VAR</w:t>
      </w:r>
      <w:r>
        <w:rPr>
          <w:rFonts w:ascii="Arial" w:cs="Arial" w:eastAsia="Arial" w:hAnsi="Arial"/>
          <w:sz w:val="10"/>
          <w:szCs w:val="10"/>
          <w:color w:val="auto"/>
        </w:rPr>
        <w:t>®</w:t>
      </w:r>
      <w:r>
        <w:rPr>
          <w:rFonts w:ascii="Arial" w:cs="Arial" w:eastAsia="Arial" w:hAnsi="Arial"/>
          <w:sz w:val="12"/>
          <w:szCs w:val="12"/>
          <w:color w:val="auto"/>
        </w:rPr>
        <w:t xml:space="preserve"> RT product to ACCIONA Energy in Spain. Changes in foreign exchange rates from fiscal 2008 to fiscal 2009 had a de minimis effect on revenue in fiscal 2009.</w:t>
      </w:r>
    </w:p>
    <w:p>
      <w:pPr>
        <w:spacing w:after="0" w:line="5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AMSC Superconductors business unit accounted for 4% of total revenues for fiscal 2009 and 8% of total revenues in fiscal 2008. AMSC Superconductors revenue decreased 21% to $11.7 million in fiscal 2009 from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$14.7 million in fiscal 2008. Revenues from significant AMSC Superconductors government funded contract revenues are summarized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Revenue Earned</w:t>
            </w:r>
          </w:p>
        </w:tc>
        <w:tc>
          <w:tcPr>
            <w:tcW w:w="60" w:type="dxa"/>
            <w:vAlign w:val="bottom"/>
          </w:tcPr>
          <w:p>
            <w:pPr>
              <w:spacing w:after="0"/>
              <w:rPr>
                <w:sz w:val="10"/>
                <w:szCs w:val="10"/>
                <w:color w:val="auto"/>
              </w:rPr>
            </w:pPr>
          </w:p>
        </w:tc>
        <w:tc>
          <w:tcPr>
            <w:tcW w:w="15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5"/>
              </w:rPr>
              <w:t>Revenue Earned for the Year</w:t>
            </w:r>
          </w:p>
        </w:tc>
        <w:tc>
          <w:tcPr>
            <w:tcW w:w="0" w:type="dxa"/>
            <w:vAlign w:val="bottom"/>
          </w:tcPr>
          <w:p>
            <w:pPr>
              <w:spacing w:after="0"/>
              <w:rPr>
                <w:sz w:val="1"/>
                <w:szCs w:val="1"/>
                <w:color w:val="auto"/>
              </w:rPr>
            </w:pPr>
          </w:p>
        </w:tc>
      </w:tr>
      <w:tr>
        <w:trPr>
          <w:trHeight w:val="125"/>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 name</w:t>
            </w:r>
          </w:p>
        </w:tc>
        <w:tc>
          <w:tcPr>
            <w:tcW w:w="140" w:type="dxa"/>
            <w:vAlign w:val="bottom"/>
          </w:tcPr>
          <w:p>
            <w:pPr>
              <w:spacing w:after="0"/>
              <w:rPr>
                <w:sz w:val="10"/>
                <w:szCs w:val="10"/>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Expected Total</w:t>
            </w:r>
          </w:p>
        </w:tc>
        <w:tc>
          <w:tcPr>
            <w:tcW w:w="16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through</w:t>
            </w:r>
          </w:p>
        </w:tc>
        <w:tc>
          <w:tcPr>
            <w:tcW w:w="60" w:type="dxa"/>
            <w:vAlign w:val="bottom"/>
          </w:tcPr>
          <w:p>
            <w:pPr>
              <w:spacing w:after="0"/>
              <w:rPr>
                <w:sz w:val="10"/>
                <w:szCs w:val="10"/>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Ended March 31,</w:t>
            </w:r>
          </w:p>
        </w:tc>
        <w:tc>
          <w:tcPr>
            <w:tcW w:w="0" w:type="dxa"/>
            <w:vAlign w:val="bottom"/>
          </w:tcPr>
          <w:p>
            <w:pPr>
              <w:spacing w:after="0"/>
              <w:rPr>
                <w:sz w:val="1"/>
                <w:szCs w:val="1"/>
                <w:color w:val="auto"/>
              </w:rPr>
            </w:pPr>
          </w:p>
        </w:tc>
      </w:tr>
      <w:tr>
        <w:trPr>
          <w:trHeight w:val="108"/>
        </w:trPr>
        <w:tc>
          <w:tcPr>
            <w:tcW w:w="5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ind w:left="80"/>
              <w:spacing w:after="0" w:line="108" w:lineRule="exact"/>
              <w:rPr>
                <w:sz w:val="20"/>
                <w:szCs w:val="20"/>
                <w:color w:val="auto"/>
              </w:rPr>
            </w:pPr>
            <w:r>
              <w:rPr>
                <w:rFonts w:ascii="Arial" w:cs="Arial" w:eastAsia="Arial" w:hAnsi="Arial"/>
                <w:sz w:val="10"/>
                <w:szCs w:val="10"/>
                <w:b w:val="1"/>
                <w:bCs w:val="1"/>
                <w:color w:val="auto"/>
              </w:rPr>
              <w:t>Contract Value</w:t>
            </w:r>
          </w:p>
        </w:tc>
        <w:tc>
          <w:tcPr>
            <w:tcW w:w="16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March 31, 2010</w:t>
            </w: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79"/>
              <w:spacing w:after="0" w:line="10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117"/>
              <w:spacing w:after="0" w:line="10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HYDRA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24,908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4,207</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LIPA I and II</w:t>
            </w:r>
          </w:p>
        </w:tc>
        <w:tc>
          <w:tcPr>
            <w:tcW w:w="14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40,141</w:t>
            </w:r>
          </w:p>
        </w:tc>
        <w:tc>
          <w:tcPr>
            <w:tcW w:w="16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34,351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3,616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2,934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DOE-FCL</w:t>
            </w: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7,898</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NAVSEA Motor Study</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6,511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6,212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2,940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79,458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54,542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7,072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12,161</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significant projects represented 61% and 82% of our AMSC Superconductors business unit’s revenue for fiscal 2009 and 2008, respectively.</w:t>
      </w:r>
    </w:p>
    <w:p>
      <w:pPr>
        <w:spacing w:after="0" w:line="96" w:lineRule="exact"/>
        <w:rPr>
          <w:sz w:val="20"/>
          <w:szCs w:val="20"/>
          <w:color w:val="auto"/>
        </w:rPr>
      </w:pPr>
    </w:p>
    <w:p>
      <w:pPr>
        <w:jc w:val="both"/>
        <w:ind w:left="680" w:right="800" w:firstLine="399"/>
        <w:spacing w:after="0" w:line="285" w:lineRule="auto"/>
        <w:rPr>
          <w:sz w:val="20"/>
          <w:szCs w:val="20"/>
          <w:color w:val="auto"/>
        </w:rPr>
      </w:pPr>
      <w:r>
        <w:rPr>
          <w:rFonts w:ascii="Arial" w:cs="Arial" w:eastAsia="Arial" w:hAnsi="Arial"/>
          <w:sz w:val="12"/>
          <w:szCs w:val="12"/>
          <w:color w:val="auto"/>
        </w:rPr>
        <w:t>The decrease in AMSC Superconductors business unit revenue for the fiscal year ended March 31, 2010 was driven primarily by lower HYDRA project revenues due to delays in project milestones and the completion of the NAVSEA Motor Study. With respect to the contract with ConEdison for Project HYDRA, $24.9 million in funding is expected from DHS and it has committed funding of $12.6 million to us as of March 31, 2010. We recognized $1.7 million in revenue related to the Project HYDRA during fiscal 2009, compared to $4.2 million in fiscal 2008. ConEdison and Southwire Company are subcontractors to us on this project. On April 1, 2010, we received a modification to the contract that re-aligns the project funding to correlate with our current project plans to do further development and testing until parties can evaluate future in-grid cable demonstration options.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 and Gross Margin</w:t>
      </w:r>
    </w:p>
    <w:p>
      <w:pPr>
        <w:spacing w:after="0" w:line="96"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Cost of revenues increased by 54% to $201.0 million for fiscal 2009, compared to $130.9 million for fiscal 2008. Gross margin was 36.4% for fiscal 2009, compared to 28.4% for fiscal 2008. The increase in gross margin in fiscal 2009 as compared to fiscal 2008 was due primarily to a shift in mix towards higher margin wind turbine core electrical component shipments and material cost reductions, primarily resulting from the localization of component supply in China for our power electronic converters which are now manufactured there.</w:t>
      </w:r>
    </w:p>
    <w:p>
      <w:pPr>
        <w:spacing w:after="0" w:line="50"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color w:val="auto"/>
        </w:rPr>
        <w:t>During the fourth quarter of the fiscal year ended March 31, 2010, we adjusted our cost of revenues by $0.7 million for an understatement of cost of revenues of $0.4 million and $0.3 million, net of tax, in the second and third quarters, respectively. The adjustment had no impact to the full year results for the year ended March 31, 2010. We evaluated this adjustment taking into account both qualitative and quantitative factors and considered the impact of this adjustment in relation to the fourth quarter of the fiscal year ended March 31, 2010. Management believes this adjustment was immaterial to both the consolidated quarterly and annual financial statements for all periods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61"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R&amp;D expenses per consolidated statements of operations</w:t>
            </w:r>
          </w:p>
        </w:tc>
        <w:tc>
          <w:tcPr>
            <w:tcW w:w="44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R&amp;D expenditures reclassified as cost of revenues</w:t>
            </w:r>
          </w:p>
        </w:tc>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14,869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R&amp;D expenditures offset by cost-sharing funding</w:t>
            </w:r>
          </w:p>
        </w:tc>
        <w:tc>
          <w:tcPr>
            <w:tcW w:w="4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3"/>
                <w:szCs w:val="13"/>
                <w:color w:val="auto"/>
              </w:rPr>
              <w:t>Aggregated R&amp;D expenses</w:t>
            </w:r>
          </w:p>
        </w:tc>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39,433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39,524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40" w:type="dxa"/>
            <w:vAlign w:val="bottom"/>
          </w:tcPr>
          <w:p>
            <w:pPr>
              <w:jc w:val="right"/>
              <w:ind w:right="3174"/>
              <w:spacing w:after="0"/>
              <w:rPr>
                <w:sz w:val="20"/>
                <w:szCs w:val="20"/>
                <w:color w:val="auto"/>
              </w:rPr>
            </w:pPr>
            <w:r>
              <w:rPr>
                <w:rFonts w:ascii="Arial" w:cs="Arial" w:eastAsia="Arial" w:hAnsi="Arial"/>
                <w:sz w:val="13"/>
                <w:szCs w:val="13"/>
                <w:color w:val="auto"/>
              </w:rPr>
              <w:t>44</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R&amp;D expenses (exclusive of amounts classified as cost of revenues and amounts offset by cost-sharing funding) increased by 20% to $23.6 million, or 7% of revenue, for fiscal 2009 from $19.7 million, or 11% of revenue, for fiscal 2008. The increase in R&amp;D expenses was driven primarily by increased headcount and related labor spending, as well as added material and overhead spending to support new product development in our AMSC Power Systems business unit. The decrease in R&amp;D expenditures reclassified to cost of revenues was a result of decreased efforts under our government funded contracts in our AMSC Superconductors business unit compared to the prior year periods. Aggregated R&amp;D expenses, which include amounts classified as cost of revenues and amounts offset by cost-sharing funding, remained flat at $39.4 million or 12% of revenue, for fiscal 2009, compared to $39.5 million, or 22% of revenue, for fiscal 2008.</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SG&amp;A expenses increased by 34% to $50.4 million, or 16% of revenue, in fiscal 2009 from $37.5 million, or 21% of revenue, for fiscal 2008. The increase in SG&amp;A expenses was due primarily to higher stock-based compensation expense and higher labor and related costs driven by headcount growth in fiscal 2009, partially offset by a reduction in bad debt expense.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acquisition related intangibles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both fiscal 2009 and 2008, we recorded $1.8 million in amortization related to our contractual relationships/backlog, customer relationships, core technology and know-how, trade names and trademark intangible assets. These intangible assets are a result of our Windtec and PQS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impairments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Aggregate restructuring charges associated with the Fiscal 2007 Plan were $7.9 million, of which $0.5 million was recorded in fiscal 2009 and $1.0 million in fiscal 2008 related to the closure of our Westborough, Massachusetts facility.</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All restructuring charges associated with the Fiscal 2007 Plan have resulted in cash disbursements and had been completed at the end of the second quarter of fiscal 2009. Cash payments under this plan were $2.6 million in fiscal 2009 and $3.9 million in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 (loss)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income (loss) is summarized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w w:val="99"/>
              </w:rPr>
              <w:t>March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77,604</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26,492</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3"/>
                <w:szCs w:val="13"/>
                <w:color w:val="auto"/>
              </w:rPr>
              <w:t>(24,432)</w:t>
            </w:r>
          </w:p>
        </w:tc>
        <w:tc>
          <w:tcPr>
            <w:tcW w:w="3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(23,655)</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(14,511)</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(11,033)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38,661</w:t>
            </w:r>
          </w:p>
        </w:tc>
        <w:tc>
          <w:tcPr>
            <w:tcW w:w="38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(8,196)</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Power Systems operating income increased to $77.6 million in fiscal 2009 from $26.5 million in fiscal 2008. The increase in fiscal 2009 was primarily the result of higher sales and gross margin, as described above.</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Superconductors operating loss increased to $24.4 million in fiscal 2009 from $23.7 million in fiscal 2008. The increase in operating loss for the fiscal year ended March 31, 2010 is primarily due to lower sales and higher expensed material costs.</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Unallocated corporate expenses include stock-based compensation expense of $13.5 million for fiscal 2009 compared to $9.7 million for fiscal 2008. Unallocated corporate expenses also include restructuring charges related primarily to the closure of our facility in Westborough, Massachusetts of $0.5 million for fiscal 2009 and $1.0 million for 2008.</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 net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Interest income, net, decreased to $0.8 million income, net for fiscal 2009 from $2.8 million income, net in fiscal 2008, primarily due to lower interest rates, as we invested in more conservative assets due to the economic environment.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Other income (expense), net, was $2.7 million in fiscal 2009, compared to $2.5 million in fiscal 2008. Other income (expense), net, for fiscal 2009 primarily relates to net foreign currency transaction and translation gains and losses as well as net realized and unrealized gains and losses on hedging contracts. Other income (expense), net, for fiscal 2008 primarily relates to net foreign currency transaction and translation gains and losses as well as $1.3 million charged to expense from mark-to-market adjustments on a warrant that had been held by Provident Premier Master Fund.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recorded income tax expense of $20.5 million during fiscal 2009 and $8.7 million during fiscal 2008. Income tax expense in both periods was driven by income generated in foreign jurisdictions. We incurred losses in the United States in fiscal 2009 and 2008 for which no tax benefit was recognized.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Measures</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50"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We define non-GAAP net (loss) income as net (loss) income before amortization of acquisition-related intangibles, restructuring and impairments, stock-based compensation, other unusual charges and any tax effects related to these items.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2011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(186,284)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(16,635)</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Goodwill and long-lived asset impairment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49,955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excess and obsolete inventory</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63,882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Losses on purchase commitments</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38,763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Write-off of prepaid value added taxes</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Stock-based compensation</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13,412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13,494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9,672</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acquisition-related intangibles</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1,848</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Re-valuation of warrant</w:t>
            </w:r>
          </w:p>
        </w:tc>
        <w:tc>
          <w:tcPr>
            <w:tcW w:w="2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1,335</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effects</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Non-GAAP net (loss) income</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(12,818)</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31,653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(3,123)</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Non-GAAP (loss) earnings per share</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9"/>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Weighted average shares outstanding*</w:t>
            </w: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47,104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45,290</w:t>
            </w:r>
          </w:p>
        </w:tc>
        <w:tc>
          <w:tcPr>
            <w:tcW w:w="1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42,718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Diluted shares are used for periods where net income is generated.</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generated non-GAAP net loss of ($12.8) million, or ($0.27) per share, for fiscal 2010, compared to $31.7 million, or $0.70 per share, for fiscal 2009 and a non-GAAP net loss of ($3.1) million, or ($0.07) per share, for fiscal 2008. The decrease in non-GAAP net income in fiscal 2010 over 2009 was primarily related to an increased expense base assuming a normalized business relationship with Sinovel and shipments of $65.9 million to certain Chinese customers in fiscal 2010 not recognized as revenue as collectability was not reasonably assured and in some cases, the fee for shipments of products to these customers was not fixed or determinable at the time of shipment. The increase in non-GAAP net income in fiscal 2009 over 2008 was driven primarily by higher net income.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At March 31, 2011, we had cash, cash equivalents, marketable securities and restricted cash of $245.5 million, compared to $155.1 million at March 31, 2010, an increase of $90.4 million. Our cash, cash equivalents, marketable securities and restricted cash are summarized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87,594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116,126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61,811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cash, cash equivalents, marketable securities and restricted cash</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245,475</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155,118</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increase in cash and cash equivalents, marketable securities and restricted cash was due primarily to the net proceeds of $155.2 million from our public equity offering of common stock which closed in November 2010, (see Note 11, “Stockholders’ Equity”, to our consolidated financial statements, for further discussion), offset by an increase in cash used by operations and capital expenditures made in support of our effort to scale up our Amperium</w:t>
      </w:r>
      <w:r>
        <w:rPr>
          <w:rFonts w:ascii="Arial" w:cs="Arial" w:eastAsia="Arial" w:hAnsi="Arial"/>
          <w:sz w:val="7"/>
          <w:szCs w:val="7"/>
          <w:color w:val="auto"/>
        </w:rPr>
        <w:t>TM</w:t>
      </w:r>
      <w:r>
        <w:rPr>
          <w:rFonts w:ascii="Arial" w:cs="Arial" w:eastAsia="Arial" w:hAnsi="Arial"/>
          <w:sz w:val="13"/>
          <w:szCs w:val="13"/>
          <w:color w:val="auto"/>
        </w:rPr>
        <w:t xml:space="preserve"> wire capacity.</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For fiscal 2010, net cash used in operating activities was $22.8 million, compared to cash provided by operating activities of $40.7 million in fiscal 2009. The increase in cash used by operations is due primarily to a decrease in net income of $202.5 million due primarily to the impact of the restatement and other material charges recorded in the fourth quarter of fiscal 2010 described above, an increase in the cash used in working capital of $28.9 million, partially offset by non-cash asset write-offs, including goodwill and long-lived asset impairment of $50.0 million, an increase in the provisions for excess and obsolete inventory of $63.9 million, an increase in losses on purchase commitments of $38.8 million and a write-off of certain prepaid value added taxes of $5.9 million.</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fiscal 2010, net cash used in investing activities was $104.8 million, compared to $40.0 million used in fiscal 2009. The increase in cash used in investing activities was driven primarily by an increase in the net purchases of marketable securities of $30.5 million, an increase in capital expenditures of $24.3 and an increase of $8.9 million used to purchase minority investments.</w:t>
      </w:r>
    </w:p>
    <w:p>
      <w:pPr>
        <w:spacing w:after="0" w:line="67"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For fiscal 2010, cash provided by financing activities was $163.1 million, compared to $19.0 million provided in fiscal 2009. The increase in cash provided by financing activities is primarily due to the net proceeds from our public equity offering of $155.2 million offset by a decrease in proceeds from the exercise of employee stock options of $11.2 million.</w:t>
      </w:r>
    </w:p>
    <w:p>
      <w:pPr>
        <w:spacing w:after="0" w:line="35"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As of March 31, 2011, we had nine performance bonds on behalf of AMSC Windtec and our wholly-owned Chinese subsidiary, Suzhou AMSC Superconductor Co. Ltd (“AMSC China”), in support of customer contracts to guarantee supply of core components and software. The total value of the outstanding performance bonds is $2.6 million and they expire at various dates through March 2014. In the event that the payment is made in accordance with the requirements of any of these performance bonds, we would record the payment as an offset to revenue.</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At March 31, 2011 and 2010, we had $5.6 million and $5.7 million, respectively, of restricted cash included in current assets, which includes the restricted cash securing letters of credit for various supply contracts. We also had an additional $10.3 million and $1.8 million in bank guarantees and letters of credit supported by unsecured lines of credit, at March 31, 2011 and 2010, respectively.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had unused, unsecured lines of credit consisting of RMB 114.8 million (approximately $17.5 million in China and €1.6 million (approximately $2.3 million in Austria as of March 31, 2011. In July 2011, the Bank of China informed us that our unsecured credit line of approximately RMB 100.0 million (approximately $15.2 million), which expired in August 2011, would not be renewed.</w:t>
      </w:r>
    </w:p>
    <w:p>
      <w:pPr>
        <w:spacing w:after="0" w:line="67"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At March 31, 2011 and June 30, 2011, we had cash, cash equivalents, marketable securities and restricted cash of $245.5 million and $166.2 million, respectively. Our business plan anticipates a substantial decline in revenues and a substantial use of cash from operations in our fiscal year ending March 31, 2012, particularly in light of the difficult and uncertain current economic environment, the significant restructuring actions undertaken and the uncertainty surrounding Sinovel and certain of our other customers in China. Our plan includes a significant restructuring undertaken in August 2011, resulting in the elimination of approximately 150 positions worldwide. Since April 1, 2011, we have eliminated approximately 30% of our workforce and we expect to save approximately $30 million annually as a result of these reductions. Additional actions include further monitoring of our operating results against expectations and, if required, further reducing operating costs and capital spending if events warrant in order to enhance liquidity. Due to the disruption in our relationship with Sinovel, we will need to raise additional capital in order to complete the planned acquisition of The Switch in order to have sufficient cash to fund our working capital, capital expenditures and other cash requirements. We may seek this financing through public or private equity offerings, debt financings, or other financing alternatives, however, there can be no assurance that financing will be available on acceptable terms or at all. If we fail to raise sufficient additional funds and terminate the purchase agreement for the acquisition of The Switch, we will likely forfeit the $20.6 million cash advance payment we paid to the shareholders of The Switch on June 29, 2011. In the event that we do not receive any additional payments from Sinovel and we neither complete the planned acquisition of The Switch, nor raise additional capital, we believe that our available cash, together with additional reductions in operating costs and capital expenditures as necessary will be sufficient to fund our operations, capital expenditures and other cash requirements through at least March 31, 2012. Our long-term liquidity is dependent on our ability to profitably grow our revenues or raise additional capital as required.</w:t>
      </w:r>
    </w:p>
    <w:p>
      <w:pPr>
        <w:spacing w:after="0" w:line="63"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2"/>
          <w:szCs w:val="12"/>
          <w:i w:val="1"/>
          <w:iCs w:val="1"/>
          <w:color w:val="auto"/>
        </w:rPr>
        <w:t>Lenartz v. American Superconductor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Corporation, et al. </w:t>
      </w:r>
      <w:r>
        <w:rPr>
          <w:rFonts w:ascii="Arial" w:cs="Arial" w:eastAsia="Arial" w:hAnsi="Arial"/>
          <w:sz w:val="12"/>
          <w:szCs w:val="12"/>
          <w:color w:val="auto"/>
        </w:rPr>
        <w:t>Docket No. 1:11-cv-10582-WGY. On June 16, 2011, the court appointed the law firm Robbins Geller Rudman &amp; Dowd LLP as Lead Counsel and the Plumbers and</w:t>
      </w:r>
      <w:r>
        <w:rPr>
          <w:rFonts w:ascii="Arial" w:cs="Arial" w:eastAsia="Arial" w:hAnsi="Arial"/>
          <w:sz w:val="12"/>
          <w:szCs w:val="12"/>
          <w:i w:val="1"/>
          <w:iCs w:val="1"/>
          <w:color w:val="auto"/>
        </w:rPr>
        <w:t xml:space="preserve"> </w:t>
      </w:r>
      <w:r>
        <w:rPr>
          <w:rFonts w:ascii="Arial" w:cs="Arial" w:eastAsia="Arial" w:hAnsi="Arial"/>
          <w:sz w:val="12"/>
          <w:szCs w:val="12"/>
          <w:color w:val="auto"/>
        </w:rPr>
        <w:t>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6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2"/>
          <w:szCs w:val="12"/>
          <w:i w:val="1"/>
          <w:iCs w:val="1"/>
          <w:color w:val="auto"/>
        </w:rPr>
        <w:t>Weakley v. Yurek, et al.</w:t>
      </w:r>
      <w:r>
        <w:rPr>
          <w:rFonts w:ascii="Arial" w:cs="Arial" w:eastAsia="Arial" w:hAnsi="Arial"/>
          <w:sz w:val="12"/>
          <w:szCs w:val="12"/>
          <w:color w:val="auto"/>
        </w:rPr>
        <w:t>, Docket No. 1:11-cv-10784;</w:t>
      </w:r>
      <w:r>
        <w:rPr>
          <w:rFonts w:ascii="Arial" w:cs="Arial" w:eastAsia="Arial" w:hAnsi="Arial"/>
          <w:sz w:val="12"/>
          <w:szCs w:val="12"/>
          <w:i w:val="1"/>
          <w:iCs w:val="1"/>
          <w:color w:val="auto"/>
        </w:rPr>
        <w:t xml:space="preserve"> Marlborough Family Revocable Trust v. Yurek, et al.</w:t>
      </w:r>
      <w:r>
        <w:rPr>
          <w:rFonts w:ascii="Arial" w:cs="Arial" w:eastAsia="Arial" w:hAnsi="Arial"/>
          <w:sz w:val="12"/>
          <w:szCs w:val="12"/>
          <w:color w:val="auto"/>
        </w:rPr>
        <w:t>, Docket No. 1:11-cv-10825;</w:t>
      </w:r>
      <w:r>
        <w:rPr>
          <w:rFonts w:ascii="Arial" w:cs="Arial" w:eastAsia="Arial" w:hAnsi="Arial"/>
          <w:sz w:val="12"/>
          <w:szCs w:val="12"/>
          <w:i w:val="1"/>
          <w:iCs w:val="1"/>
          <w:color w:val="auto"/>
        </w:rPr>
        <w:t xml:space="preserve"> Connors v. Yurek, et al.</w:t>
      </w:r>
      <w:r>
        <w:rPr>
          <w:rFonts w:ascii="Arial" w:cs="Arial" w:eastAsia="Arial" w:hAnsi="Arial"/>
          <w:sz w:val="12"/>
          <w:szCs w:val="12"/>
          <w:color w:val="auto"/>
        </w:rPr>
        <w:t>, Docket No. 1:11-cv-10910; and</w:t>
      </w:r>
      <w:r>
        <w:rPr>
          <w:rFonts w:ascii="Arial" w:cs="Arial" w:eastAsia="Arial" w:hAnsi="Arial"/>
          <w:sz w:val="12"/>
          <w:szCs w:val="12"/>
          <w:i w:val="1"/>
          <w:iCs w:val="1"/>
          <w:color w:val="auto"/>
        </w:rPr>
        <w:t xml:space="preserve"> Hurd v. Yurek, et al.</w:t>
      </w:r>
      <w:r>
        <w:rPr>
          <w:rFonts w:ascii="Arial" w:cs="Arial" w:eastAsia="Arial" w:hAnsi="Arial"/>
          <w:sz w:val="12"/>
          <w:szCs w:val="12"/>
          <w:color w:val="auto"/>
        </w:rPr>
        <w:t>, Docket No. 1:11-cv-11102. On June 1, 2011, the plaintiff in</w:t>
      </w:r>
      <w:r>
        <w:rPr>
          <w:rFonts w:ascii="Arial" w:cs="Arial" w:eastAsia="Arial" w:hAnsi="Arial"/>
          <w:sz w:val="12"/>
          <w:szCs w:val="12"/>
          <w:i w:val="1"/>
          <w:iCs w:val="1"/>
          <w:color w:val="auto"/>
        </w:rPr>
        <w:t xml:space="preserve"> Marlborough Family Revocable Trust v. Yurek, et al. </w:t>
      </w:r>
      <w:r>
        <w:rPr>
          <w:rFonts w:ascii="Arial" w:cs="Arial" w:eastAsia="Arial" w:hAnsi="Arial"/>
          <w:sz w:val="12"/>
          <w:szCs w:val="12"/>
          <w:color w:val="auto"/>
        </w:rPr>
        <w:t>moved to voluntarily dismiss its complaint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8" w:lineRule="auto"/>
        <w:rPr>
          <w:sz w:val="20"/>
          <w:szCs w:val="20"/>
          <w:color w:val="auto"/>
        </w:rPr>
      </w:pPr>
      <w:r>
        <w:rPr>
          <w:rFonts w:ascii="Arial" w:cs="Arial" w:eastAsia="Arial" w:hAnsi="Arial"/>
          <w:sz w:val="12"/>
          <w:szCs w:val="12"/>
          <w:color w:val="auto"/>
        </w:rPr>
        <w:t xml:space="preserve">and refiled its complaint in Superior Court for the Commonwealth of Massachusetts, Middlesex County, on June 3, 2011. The case is now captioned </w:t>
      </w:r>
      <w:r>
        <w:rPr>
          <w:rFonts w:ascii="Arial" w:cs="Arial" w:eastAsia="Arial" w:hAnsi="Arial"/>
          <w:sz w:val="12"/>
          <w:szCs w:val="12"/>
          <w:i w:val="1"/>
          <w:iCs w:val="1"/>
          <w:color w:val="auto"/>
        </w:rPr>
        <w:t>Marlborough Family Revocable Trust v.</w:t>
      </w:r>
      <w:r>
        <w:rPr>
          <w:rFonts w:ascii="Arial" w:cs="Arial" w:eastAsia="Arial" w:hAnsi="Arial"/>
          <w:sz w:val="12"/>
          <w:szCs w:val="12"/>
          <w:color w:val="auto"/>
        </w:rPr>
        <w:t xml:space="preserve"> </w:t>
      </w:r>
      <w:r>
        <w:rPr>
          <w:rFonts w:ascii="Arial" w:cs="Arial" w:eastAsia="Arial" w:hAnsi="Arial"/>
          <w:sz w:val="12"/>
          <w:szCs w:val="12"/>
          <w:i w:val="1"/>
          <w:iCs w:val="1"/>
          <w:color w:val="auto"/>
        </w:rPr>
        <w:t>Yurek, et al.</w:t>
      </w:r>
      <w:r>
        <w:rPr>
          <w:rFonts w:ascii="Arial" w:cs="Arial" w:eastAsia="Arial" w:hAnsi="Arial"/>
          <w:sz w:val="12"/>
          <w:szCs w:val="12"/>
          <w:color w:val="auto"/>
        </w:rPr>
        <w:t>, Docket No. 11-1961. The Superior Court in Worcester County granted the plaintiff’s motion to transfer in</w:t>
      </w:r>
      <w:r>
        <w:rPr>
          <w:rFonts w:ascii="Arial" w:cs="Arial" w:eastAsia="Arial" w:hAnsi="Arial"/>
          <w:sz w:val="12"/>
          <w:szCs w:val="12"/>
          <w:i w:val="1"/>
          <w:iCs w:val="1"/>
          <w:color w:val="auto"/>
        </w:rPr>
        <w:t xml:space="preserve"> Segel v. Yurek et al. </w:t>
      </w:r>
      <w:r>
        <w:rPr>
          <w:rFonts w:ascii="Arial" w:cs="Arial" w:eastAsia="Arial" w:hAnsi="Arial"/>
          <w:sz w:val="12"/>
          <w:szCs w:val="12"/>
          <w:color w:val="auto"/>
        </w:rPr>
        <w:t>to the Superior Court for the Commonwealth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Massachusetts, Middlesex County on June 23, 2011, and that matter is now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11-2269. On July 5, 2011, the </w:t>
      </w:r>
      <w:r>
        <w:rPr>
          <w:rFonts w:ascii="Arial" w:cs="Arial" w:eastAsia="Arial" w:hAnsi="Arial"/>
          <w:sz w:val="12"/>
          <w:szCs w:val="12"/>
          <w:i w:val="1"/>
          <w:iCs w:val="1"/>
          <w:color w:val="auto"/>
        </w:rPr>
        <w:t>Weakley</w:t>
      </w:r>
      <w:r>
        <w:rPr>
          <w:rFonts w:ascii="Arial" w:cs="Arial" w:eastAsia="Arial" w:hAnsi="Arial"/>
          <w:sz w:val="12"/>
          <w:szCs w:val="12"/>
          <w:color w:val="auto"/>
        </w:rPr>
        <w:t xml:space="preserve">, </w:t>
      </w:r>
      <w:r>
        <w:rPr>
          <w:rFonts w:ascii="Arial" w:cs="Arial" w:eastAsia="Arial" w:hAnsi="Arial"/>
          <w:sz w:val="12"/>
          <w:szCs w:val="12"/>
          <w:i w:val="1"/>
          <w:iCs w:val="1"/>
          <w:color w:val="auto"/>
        </w:rPr>
        <w:t>Connors</w:t>
      </w:r>
      <w:r>
        <w:rPr>
          <w:rFonts w:ascii="Arial" w:cs="Arial" w:eastAsia="Arial" w:hAnsi="Arial"/>
          <w:sz w:val="12"/>
          <w:szCs w:val="12"/>
          <w:color w:val="auto"/>
        </w:rPr>
        <w:t xml:space="preserve"> and </w:t>
      </w:r>
      <w:r>
        <w:rPr>
          <w:rFonts w:ascii="Arial" w:cs="Arial" w:eastAsia="Arial" w:hAnsi="Arial"/>
          <w:sz w:val="12"/>
          <w:szCs w:val="12"/>
          <w:i w:val="1"/>
          <w:iCs w:val="1"/>
          <w:color w:val="auto"/>
        </w:rPr>
        <w:t>Hurd</w:t>
      </w:r>
      <w:r>
        <w:rPr>
          <w:rFonts w:ascii="Arial" w:cs="Arial" w:eastAsia="Arial" w:hAnsi="Arial"/>
          <w:sz w:val="12"/>
          <w:szCs w:val="12"/>
          <w:color w:val="auto"/>
        </w:rPr>
        <w:t xml:space="preserve"> actions were consolidated in United States District Court for the District of Massachusetts. That matter is now captioned </w:t>
      </w:r>
      <w:r>
        <w:rPr>
          <w:rFonts w:ascii="Arial" w:cs="Arial" w:eastAsia="Arial" w:hAnsi="Arial"/>
          <w:sz w:val="12"/>
          <w:szCs w:val="12"/>
          <w:i w:val="1"/>
          <w:iCs w:val="1"/>
          <w:color w:val="auto"/>
        </w:rPr>
        <w:t>In re American Superconductor Corporation Derivative Litigation</w:t>
      </w:r>
      <w:r>
        <w:rPr>
          <w:rFonts w:ascii="Arial" w:cs="Arial" w:eastAsia="Arial" w:hAnsi="Arial"/>
          <w:sz w:val="12"/>
          <w:szCs w:val="12"/>
          <w:color w:val="auto"/>
        </w:rPr>
        <w:t xml:space="preserve">, Docket No. 1:11-cv-10784. On June 1, 2011, the plaintiff in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2"/>
          <w:szCs w:val="12"/>
          <w:i w:val="1"/>
          <w:iCs w:val="1"/>
          <w:color w:val="auto"/>
        </w:rPr>
        <w:t>Segel v. Yurek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et al. </w:t>
      </w:r>
      <w:r>
        <w:rPr>
          <w:rFonts w:ascii="Arial" w:cs="Arial" w:eastAsia="Arial" w:hAnsi="Arial"/>
          <w:sz w:val="12"/>
          <w:szCs w:val="12"/>
          <w:color w:val="auto"/>
        </w:rPr>
        <w:t>to the Superior Court for the Commonwealth of Massachusetts, Middlesex County on June 23, 2011. On September 7, 2011, the</w:t>
      </w:r>
      <w:r>
        <w:rPr>
          <w:rFonts w:ascii="Arial" w:cs="Arial" w:eastAsia="Arial" w:hAnsi="Arial"/>
          <w:sz w:val="12"/>
          <w:szCs w:val="12"/>
          <w:i w:val="1"/>
          <w:iCs w:val="1"/>
          <w:color w:val="auto"/>
        </w:rPr>
        <w:t xml:space="preserve"> Marlborough </w:t>
      </w:r>
      <w:r>
        <w:rPr>
          <w:rFonts w:ascii="Arial" w:cs="Arial" w:eastAsia="Arial" w:hAnsi="Arial"/>
          <w:sz w:val="12"/>
          <w:szCs w:val="12"/>
          <w:color w:val="auto"/>
        </w:rPr>
        <w:t>and</w:t>
      </w:r>
      <w:r>
        <w:rPr>
          <w:rFonts w:ascii="Arial" w:cs="Arial" w:eastAsia="Arial" w:hAnsi="Arial"/>
          <w:sz w:val="12"/>
          <w:szCs w:val="12"/>
          <w:i w:val="1"/>
          <w:iCs w:val="1"/>
          <w:color w:val="auto"/>
        </w:rPr>
        <w:t xml:space="preserve"> Segel </w:t>
      </w:r>
      <w:r>
        <w:rPr>
          <w:rFonts w:ascii="Arial" w:cs="Arial" w:eastAsia="Arial" w:hAnsi="Arial"/>
          <w:sz w:val="12"/>
          <w:szCs w:val="12"/>
          <w:color w:val="auto"/>
        </w:rPr>
        <w:t>actions were consolidated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Superior Court for the Commonwealth of Massachusetts, Middlesex County. The case is now captioned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60"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72"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On September 13, 2011, we commenced a series of legal actions in China against Sinovel Wind Group Co. Ltd. (“Sinovel”). Our Chinese subsidiary, Suzhou AMSC Superconductor Co. Ltd. (“AMSC China”), filed a claim for arbitration with the Beijing Arbitration Commission in accordance with the terms of our supply contracts with Sinovel.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due to Sinovel’s breaches of our contracts. We are also seeking specific performance of our existing contracts as well as reimbursement of all costs and reasonable expenses with respect to the arbitration.</w:t>
      </w:r>
    </w:p>
    <w:p>
      <w:pPr>
        <w:spacing w:after="0" w:line="73"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We also submitted a civil action application to the Beijing No. 1 Intermediate People’s Court against Sinovel for software copyright infringement.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and is currently awaiting trial on charges of economic espionage and fraudulent manipulation of data.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for our economic losses and reimbursement of all costs and reasonable expenses.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court must accept the application in order for the case to proceed, and there can be no assurance that the court will do so.</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submitted a civil action application to the Beijing Higher People’s Court against Sinovel and certain of its employees for trade secret infringement. The application alleges the defendants’ unauthorized use of portions of our wind turbine control software source code developed for Sinovel’s 1.5MW wind turbines as described above with respect to the Copyright Action. We are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70" w:lineRule="exact"/>
        <w:rPr>
          <w:sz w:val="20"/>
          <w:szCs w:val="20"/>
          <w:color w:val="auto"/>
        </w:rPr>
      </w:pPr>
    </w:p>
    <w:p>
      <w:pPr>
        <w:jc w:val="both"/>
        <w:ind w:left="680" w:firstLine="399"/>
        <w:spacing w:after="0" w:line="316" w:lineRule="auto"/>
        <w:rPr>
          <w:sz w:val="20"/>
          <w:szCs w:val="20"/>
          <w:color w:val="auto"/>
        </w:rPr>
      </w:pPr>
      <w:r>
        <w:rPr>
          <w:rFonts w:ascii="Arial" w:cs="Arial" w:eastAsia="Arial" w:hAnsi="Arial"/>
          <w:sz w:val="11"/>
          <w:szCs w:val="11"/>
          <w:color w:val="auto"/>
        </w:rPr>
        <w:t>On September 16, 2011, we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for our economic losses (with respect to Guotong only) and reimbursement of all costs and reasonable expenses.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do not have any off-balance sheet arrangements, as defined under SEC rules, except as with respect to the performance bonds discussed below. 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we have various contractual arrangements in which minimum quantities of goods or services have been committed to be purchased on an annual basis.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Contractual obligations represent future cash commitments and liabilities under agreements with third parties. Operating leases include minimum payments under leases for our facilities and certain equipment, see Item 2, “Properties.” Purchase commitments represent enforceable and legally binding agreements with suppliers to purchase goods or services. As of March 31, 2011, we are committed to make the following payments under contractual obligations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4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Less Than</w:t>
            </w:r>
          </w:p>
        </w:tc>
        <w:tc>
          <w:tcPr>
            <w:tcW w:w="60" w:type="dxa"/>
            <w:vAlign w:val="bottom"/>
          </w:tcPr>
          <w:p>
            <w:pPr>
              <w:spacing w:after="0"/>
              <w:rPr>
                <w:sz w:val="7"/>
                <w:szCs w:val="7"/>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80" w:type="dxa"/>
            <w:vAlign w:val="bottom"/>
          </w:tcPr>
          <w:p>
            <w:pPr>
              <w:spacing w:after="0"/>
              <w:rPr>
                <w:sz w:val="7"/>
                <w:szCs w:val="7"/>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89"/>
              </w:rPr>
              <w:t>3-5 Years</w:t>
            </w:r>
          </w:p>
        </w:tc>
        <w:tc>
          <w:tcPr>
            <w:tcW w:w="80" w:type="dxa"/>
            <w:vAlign w:val="bottom"/>
          </w:tcPr>
          <w:p>
            <w:pPr>
              <w:spacing w:after="0"/>
              <w:rPr>
                <w:sz w:val="7"/>
                <w:szCs w:val="7"/>
                <w:color w:val="auto"/>
              </w:rPr>
            </w:pPr>
          </w:p>
        </w:tc>
        <w:tc>
          <w:tcPr>
            <w:tcW w:w="600" w:type="dxa"/>
            <w:vAlign w:val="bottom"/>
          </w:tcPr>
          <w:p>
            <w:pPr>
              <w:jc w:val="right"/>
              <w:ind w:right="20"/>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1 Year</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Purchase commitments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87,079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83,553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Operating leases (rent)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6,577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2,511</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2,394</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1,402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leases (other)</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Total contractual obligations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93,943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86,161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6,110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During fiscal 2010, we recorded losses on the purchase commitments noted above of $38.8 million to cost of revenues as a result of commitments to purchase materials that were in excess of our estimated future proceeds from sales to certain of our customers in China.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In October 2009, the FASB issued Accounting Standards Update (ASU) No. 2009-13, </w:t>
      </w:r>
      <w:r>
        <w:rPr>
          <w:rFonts w:ascii="Arial" w:cs="Arial" w:eastAsia="Arial" w:hAnsi="Arial"/>
          <w:sz w:val="13"/>
          <w:szCs w:val="13"/>
          <w:i w:val="1"/>
          <w:iCs w:val="1"/>
          <w:color w:val="auto"/>
        </w:rPr>
        <w:t>Multiple-Deliverable Revenue Arrangements,</w:t>
      </w:r>
      <w:r>
        <w:rPr>
          <w:rFonts w:ascii="Arial" w:cs="Arial" w:eastAsia="Arial" w:hAnsi="Arial"/>
          <w:sz w:val="13"/>
          <w:szCs w:val="13"/>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96" w:lineRule="auto"/>
        <w:rPr>
          <w:sz w:val="20"/>
          <w:szCs w:val="20"/>
          <w:color w:val="auto"/>
        </w:rPr>
      </w:pPr>
      <w:r>
        <w:rPr>
          <w:rFonts w:ascii="Arial" w:cs="Arial" w:eastAsia="Arial" w:hAnsi="Arial"/>
          <w:sz w:val="12"/>
          <w:szCs w:val="12"/>
          <w:color w:val="auto"/>
        </w:rPr>
        <w:t>or third-party evidence of the selling prices, consideration must be allocated to the deliverables based on management’s best estimate of the selling prices. In addition, the new standard eliminates the use of the residual method of allocation. The new accounting standard supersedes the prior multiple element revenue arrangement accounting rules that were previously used. We adopted this new accounting standard on April 1, 2010 using the prospective method and the adoption did not have a material impact on our consolidated financial statements.</w:t>
      </w:r>
    </w:p>
    <w:p>
      <w:pPr>
        <w:spacing w:after="0" w:line="5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 xml:space="preserve">In January 2010, we adopted Accounting Standards Update (ASU) No. 2010-06, </w:t>
      </w:r>
      <w:r>
        <w:rPr>
          <w:rFonts w:ascii="Arial" w:cs="Arial" w:eastAsia="Arial" w:hAnsi="Arial"/>
          <w:sz w:val="12"/>
          <w:szCs w:val="12"/>
          <w:i w:val="1"/>
          <w:iCs w:val="1"/>
          <w:color w:val="auto"/>
        </w:rPr>
        <w:t>Fair Value Measurements and Disclosures (Topic 820): Improving Disclosures about Fair Value</w:t>
      </w:r>
      <w:r>
        <w:rPr>
          <w:rFonts w:ascii="Arial" w:cs="Arial" w:eastAsia="Arial" w:hAnsi="Arial"/>
          <w:sz w:val="12"/>
          <w:szCs w:val="12"/>
          <w:color w:val="auto"/>
        </w:rPr>
        <w:t xml:space="preserve"> </w:t>
      </w:r>
      <w:r>
        <w:rPr>
          <w:rFonts w:ascii="Arial" w:cs="Arial" w:eastAsia="Arial" w:hAnsi="Arial"/>
          <w:sz w:val="12"/>
          <w:szCs w:val="12"/>
          <w:i w:val="1"/>
          <w:iCs w:val="1"/>
          <w:color w:val="auto"/>
        </w:rPr>
        <w:t>Measurements</w:t>
      </w:r>
      <w:r>
        <w:rPr>
          <w:rFonts w:ascii="Arial" w:cs="Arial" w:eastAsia="Arial" w:hAnsi="Arial"/>
          <w:sz w:val="12"/>
          <w:szCs w:val="12"/>
          <w:color w:val="auto"/>
        </w:rPr>
        <w:t>. This standard amends the disclosure guidance with respect to fair value measurements for both interim and annual reporting periods. Specifically, this standard requires new</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We have included these new disclosures, as applicable, in Note 3, “Marketable Securities and Fair Value Disclosures,” of our consolidated financial statements.</w:t>
      </w:r>
    </w:p>
    <w:p>
      <w:pPr>
        <w:spacing w:after="0" w:line="55"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 xml:space="preserve">In December 2010, the FASB issued Accounting Standards Update (ASU) No. 2010-29, </w:t>
      </w:r>
      <w:r>
        <w:rPr>
          <w:rFonts w:ascii="Arial" w:cs="Arial" w:eastAsia="Arial" w:hAnsi="Arial"/>
          <w:sz w:val="12"/>
          <w:szCs w:val="12"/>
          <w:i w:val="1"/>
          <w:iCs w:val="1"/>
          <w:color w:val="auto"/>
        </w:rPr>
        <w:t>Business Combinations (Topic 805), Disclosure of Supplementary Pro forma Information for</w:t>
      </w:r>
      <w:r>
        <w:rPr>
          <w:rFonts w:ascii="Arial" w:cs="Arial" w:eastAsia="Arial" w:hAnsi="Arial"/>
          <w:sz w:val="12"/>
          <w:szCs w:val="12"/>
          <w:color w:val="auto"/>
        </w:rPr>
        <w:t xml:space="preserve"> </w:t>
      </w:r>
      <w:r>
        <w:rPr>
          <w:rFonts w:ascii="Arial" w:cs="Arial" w:eastAsia="Arial" w:hAnsi="Arial"/>
          <w:sz w:val="12"/>
          <w:szCs w:val="12"/>
          <w:i w:val="1"/>
          <w:iCs w:val="1"/>
          <w:color w:val="auto"/>
        </w:rPr>
        <w:t>Business Combinations a consensus of the FASB Emerging Issues Task Force (ASC 2010-29)</w:t>
      </w:r>
      <w:r>
        <w:rPr>
          <w:rFonts w:ascii="Arial" w:cs="Arial" w:eastAsia="Arial" w:hAnsi="Arial"/>
          <w:sz w:val="12"/>
          <w:szCs w:val="12"/>
          <w:color w:val="auto"/>
        </w:rPr>
        <w:t>. This amendment clarifies the periods for which pro forma financial information is presented.</w:t>
      </w:r>
      <w:r>
        <w:rPr>
          <w:rFonts w:ascii="Arial" w:cs="Arial" w:eastAsia="Arial" w:hAnsi="Arial"/>
          <w:sz w:val="12"/>
          <w:szCs w:val="12"/>
          <w:i w:val="1"/>
          <w:iCs w:val="1"/>
          <w:color w:val="auto"/>
        </w:rPr>
        <w:t xml:space="preserve"> </w:t>
      </w:r>
      <w:r>
        <w:rPr>
          <w:rFonts w:ascii="Arial" w:cs="Arial" w:eastAsia="Arial" w:hAnsi="Arial"/>
          <w:sz w:val="12"/>
          <w:szCs w:val="12"/>
          <w:color w:val="auto"/>
        </w:rPr>
        <w:t>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We do not expect the adoption of ASU 2011-04 to have a material impact on our consolidated results of operations, financial condition, or cash flows.</w:t>
      </w:r>
    </w:p>
    <w:p>
      <w:pPr>
        <w:spacing w:after="0" w:line="5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 xml:space="preserve">In June 2011, the FASB issued Accounting Standards Update (ASU) No. 2011-05, </w:t>
      </w:r>
      <w:r>
        <w:rPr>
          <w:rFonts w:ascii="Arial" w:cs="Arial" w:eastAsia="Arial" w:hAnsi="Arial"/>
          <w:sz w:val="13"/>
          <w:szCs w:val="13"/>
          <w:i w:val="1"/>
          <w:iCs w:val="1"/>
          <w:color w:val="auto"/>
        </w:rPr>
        <w:t>Comprehensive Income (Topic 220): Presentation of Comprehensive Income</w:t>
      </w:r>
      <w:r>
        <w:rPr>
          <w:rFonts w:ascii="Arial" w:cs="Arial" w:eastAsia="Arial" w:hAnsi="Arial"/>
          <w:sz w:val="13"/>
          <w:szCs w:val="13"/>
          <w:color w:val="auto"/>
        </w:rPr>
        <w:t>.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We do not expect the adoption of ASU 2011-04 to have a material impact on our consolidated results of operations, financial condition, or cash flows.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53"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Accounts receivable;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Inventory;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Purchase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Valuation of long-lived assets;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Income 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Acquisition accounting;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Stock-based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Derivatives;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Contingencies;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Product warranty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We recognize revenue for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our contracts involve retention amounts which are contingent upon meeting certain performance requirements through the expiration of the contract warranty periods. For contractual arrangements that involve retention, we recognize revenue for these amounts when upon the expiration of the warranty period, meeting the performance requirements and when collection of the fee is reasonably assured.</w:t>
      </w:r>
    </w:p>
    <w:p>
      <w:pPr>
        <w:spacing w:after="0" w:line="72"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During fiscal 2010, we determined that revenues from certain of our customers in China during the second and third quarters were incorrectly recorded as the fee was not fixed or determinable or collectability was not reasonably assured at the time of shipment. For these customers, we restated revenues based on a cash basis of accounting with cash applied first against accounts receivable balances, as in the case of Sinovel as of September 30, 2010, then costs of shipments (inventory and value added taxes) before recognizing any gross margin. We had previously recognized revenues in the quarters ended September 30, 2010 and December 31, 2010 based on the receipt of shipments by these customers but prior to the receipt of payment for such shipments.</w:t>
      </w:r>
    </w:p>
    <w:p>
      <w:pPr>
        <w:spacing w:after="0" w:line="71"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For certain arrangements, such as prototype development contracts and certain product sales, we record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72"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When our estimates are used to determine fair value, management makes its estimates using reasonable and objective evidence to determine the price.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 We adopted this new accounting standard on April 1, 2010 using the prospective method, and the adoption did not have a material impact on our consolidated financial statements.</w:t>
      </w:r>
    </w:p>
    <w:p>
      <w:pPr>
        <w:spacing w:after="0" w:line="73"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We occasionally enter into construction contracts that include a performance bond or similar security. As these contracts progress, we continually assess the probability of a payout from these securities. Should we determine that such a payout is likely, we would record a liability and reduce revenue to the extent a liability is recorded.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enter into certain arrangements to license our technologies and to provide training services. We have determined that the license has no stand alone value to the customer and is not separable from the training. Accordingly, we account for these arrangements as a single unit of accounting, following the revenue recognition pattern of the last deliverable of the arrangement and recognize revenue over the period of our performance and milestones that have been achieved. Costs for these arrangements are expensed as incurred.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elected to record taxes collected from customers on a net basis and do not include tax amounts in revenue or costs of revenue.</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Accounts receivable consist of amounts owed by commercial companies and government agencies. Accounts receivable are stated net of allowances for doubtful accounts. Our accounts receivable relate principally to a limited number of customers. Changes in the financial condition or operations of our customers may result in increased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 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Inventories include material, direct labor and related manufacturing overhead, and are stated at the lower of cost or market determined on a first-in, first-out basis. We record inventory when we take delivery and title to the product.</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Program costs may be deferred and recorded as inventory on contracts on which costs are incurred in excess of approved contractual amounts and/or funding, if future recovery of the costs is deemed probable.</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At each balance sheet date, we evaluate our ending inventories for excess quantities and obsolescence. Inventories that management consider excess or obsolete are written down.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recorded an inventory write-down of approximately $63.9 million during fiscal 2010 based on our evaluation of forecasted demand in relation to the inventory on hand and market conditions surrounding its products as a result of the assumption that Sinovel and certain other customers in China will fail to meet its contractual obligations and demand that was previously forecasted will fail to materialize. If in any period we are able to sell inventories that were not valued or that had been written down in a previous period, related revenues would be recorded without any offsetting charge to cost of revenues, resulting in a net benefit to its gross margin in that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commitments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periodically enter into non-cancelable purchase contracts in order to ensure the availability of materials to support production of our products. Any commitments for products ordered but not yet received is included as purchase commitments in our contractual obligations table. We periodically assess the need to provide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impairment on these purchase contracts and record a loss on purchase commitments when required. During fiscal 2010, we recorded losses of $38.8 million to cost of revenues as a result of commitments to purchase materials that were in excess of our estimated future demand from certain of our customers in China.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Goodwill represents the excess of cost over net assets of acquired businesses that are consolidated. We perform our annual assessment of goodwill on March 31 each fiscal year and whenever events or changes in circumstances or a triggering event indicate that the carrying amount may not be recoverable. Determining whether a triggering event has occurred often involves significant judgment from management. The applicable accounting guidance requires that a two-step impairment test be performed on goodwill. In the first step, the fair value of each reporting unit is compared to its carrying value. If the fair value of a reporting unit exceeds the carrying value of that unit, goodwill is not impaired and no further testing is required. If the carrying value of the reporting unit exceeds the fair value of that unit, then a second step must be performed to determine the implied fair value of the reporting entity’s goodwill. The second step of the goodwill impairment analysis requires the allocation of the fair value of the reporting unit to all of the assets and liabilities of that reporting unit as if the reporting unit had been acquired in a business combination. If the carrying value of a reporting unit’s goodwill exceeds its implied fair value, then an impairment loss equal to the difference is recorded.</w:t>
      </w:r>
    </w:p>
    <w:p>
      <w:pPr>
        <w:spacing w:after="0" w:line="58"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We have determined that we have two reporting units to which goodwill is allocated — Windtec, China and International Subsidiaries (“Windtec”) and Power Systems North America (“PSNA”). The Superconductor reporting unit does not have goodwill. Determining the fair value of a reporting unit is judgmental in nature, and involves the use of significant estimates and assumptions. These estimates and assumptions may include revenue growth rates and operating margins used to calculate projected future cash flows, risk-adjusted discount rates, future economic and market conditions, the determination of appropriate market comparables as well as the fair value of individual assets and liabilities. Consistent with prior years, we used an income approach, specifically a discounted cash flow (“DCF”) method, to establish the fair value of the reporting units as of March 31, 2011. As in prior years, we used the most recent five year strategic plan approved by the Board of Directors as the initial basis of our analysis. Currently, we are not able to estimate additional cash flows to replace the loss of Sinovel revenues. As a result, the DCF for both reporting units yielded a negative fair value. In order to more appropriately consider fair values of the reporting units, we assessed the fair value of our Windtec and PSNA reporting units using a net asset approach whereby we estimated the fair value of the assets and liabilities attributable to each of the reporting units. Under this approach, the fair value of each asset and liability within Windtec and PSNA were determined based on the methodology we believe is most appropriate for each asset and liability. Significant estimates and judgments were involved in this assessment. Those estimates and judgments include the use of valuation methods for determining the fair value of the intangible assets assigned to each of the reporting units and the applicable assumptions included in those valuation methods such as financial projections, discount rates, royalty rates, tax rates and other related assumptions. Other significant estimates and judgments include the assumptions utilized to arrive at the market values of the fixed assets assigned to these reporting units and the realizability of other assets assigned to the reporting units.</w:t>
      </w:r>
    </w:p>
    <w:p>
      <w:pPr>
        <w:spacing w:after="0" w:line="6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performed our annual assessment of goodwill of the Windtec and PSNA reporting units on March 31, 2011. Our annual assessment date corresponded with a triggering event caused by the refusal by Sinovel to accept scheduled shipments from us on March 31, 2011. As a result of reductions in our revenue and operating forecasts related to Sinovel and certain of our other customers in China, we determined that the goodwill related to both the Windtec and PSNA reporting units were fully impaired. Accordingly, we recorded impairment charges of $42.1 million and $6.9 million for the Windtec and PSNA reporting units, respectively, during the fourth quarter of fiscal 2010.</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long-lived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5" w:lineRule="auto"/>
        <w:rPr>
          <w:sz w:val="20"/>
          <w:szCs w:val="20"/>
          <w:color w:val="auto"/>
        </w:rPr>
      </w:pPr>
      <w:r>
        <w:rPr>
          <w:rFonts w:ascii="Arial" w:cs="Arial" w:eastAsia="Arial" w:hAnsi="Arial"/>
          <w:sz w:val="12"/>
          <w:szCs w:val="12"/>
          <w:color w:val="auto"/>
        </w:rPr>
        <w:t>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have three asset groups, PSNA, Windtec and Superconductor based on the fact that the individual subsidiary companies that support each reporting unit are dependent on one another such that the lowest level of largely independent cash flows is the reporting unit level. We evaluate our long-lived assets whenever events or circumstances suggest that the carrying amount of an asset or group of assets may not be recoverable from the estimated undiscounted future cash flows.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judgments regarding the existence of impairment indicators are based on market and operational performance. Indicators of potential impairment include:</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significant change in the manner in which an asset is used;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significant decrease in the market value of an asset;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identification of other impaired assets within a reporting unit;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significant adverse change in its business or the industry in which it is sold;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current period operating cash flow loss combined with a history of operating or cash flow losses or a projection or forecast that demonstrates continuing losses associated with the asset;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significant advances in our technologies that require changes in our manufacturing process.</w:t>
      </w:r>
    </w:p>
    <w:p>
      <w:pPr>
        <w:spacing w:after="0" w:line="96"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In the fourth quarter of fiscal 2010, as a result of reductions in our revenue and cash flow forecasts related to Sinovel and certain of our other customers in China as well as potential goodwill impairment, we concluded that there were indicators of potential impairment of certain long-lived assets. As a result, we conducted an assessment of the recoverability of these assets. Recoverability of these assets is measured by comparison of the carrying value of the assets to the undiscounted cash flows estimated to be generated by those assets over their remaining book useful lives. Based on the initial impairment testing, which indicated that the assets were not recoverable, there was an indication that our Windtec asset group and our corporate long-lived assets were impaired and, as a result, we performed additional analysis. An evaluation of the level of impairment, was made with respect to the Windtec asset group and the corporate long-lived assets by comparing the fair value of the long-lived assets in the Windtec asset group against their carrying value and by comparing the fair value of all of our long-lived assets against their carrying value.</w:t>
      </w:r>
    </w:p>
    <w:p>
      <w:pPr>
        <w:spacing w:after="0" w:line="73"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The fair values of our property and equipment were based on what we could reasonably expect to sell each asset for in an orderly liquidation setting. The determination of the fair values of our property and equipment includes estimates and judgments regarding the marketability and ultimate sales price of individual assets. We utilized market data and approximations from comparable analyses to arrive at the estimated fair values of our property and equipment. The fair values of amortizable intangible assets related to completed technology and trade names were determined using the relief-from-royalty method over the estimated economic lives of those assets from the perspective of a market participant. The fair values of amortizable intangible assets related to customer relationships and backlog were determined using the excess earnings method over the estimated economic lives of those assets from the perspective of a market participant. The determination of the fair values of our amortizable intangible assets involves significant judgments, assumptions, and estimates, including projections of future cash flows, the percentage of future revenues and cash flows attributable to the intangible assets and asset lives used to generate future cash flows. We used a revised five year plan based on the assumption that Sinovel will not be a customer. Future cash flows are based upon revenue growth rate assumptions consistent with industry expectations for the markets that our asset groups operate in.</w:t>
      </w:r>
    </w:p>
    <w:p>
      <w:pPr>
        <w:spacing w:after="0" w:line="74"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As a result of our evaluation of the recoverability of our long-lived assets and amortizable intangible assets during the fourth quarter of fiscal 2010, we determined that certain of our property, plant and equipment and intangible assets in our Windtec asset group were impaired as their carrying value exceeded their fair value. Accordingly, we recorded an impairment charge of $1.0 million during the fourth quarter of fiscal 2010 of which $0.6 million related to our property and equipment and $0.4 million related to our customer-related intangibles.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Further, we determined through this analysis that our corporate long-lived assets were not impaired as the fair values of all of our long-lived assets exceeded their carrying values.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70"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10, “Income Taxes”, of our consolidated financial statements for further information regarding our income tax assumptions and expenses.)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accounting</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Acquisitions completed prior to April 1, 2009 were accounted for using the purchase method per GAAP. Acquisitions completed subsequent to April 1, 2009 will be accounted for under the acquisition method. Under the purchase method, contingent consideration is recorded as goodwill only in the period in which the consideration is earned. Under the acquisition method, we are required to estimate the fair value of contingent consideration as an assumed liability on the acquisition date by estimating the amount of the consideration and probability of the contingencies being met. This estimate is recorded as goodwill on the acquisition date and its value is assessed at each reporting date. Any subsequent change to the estimated fair value is reflected in earnings and not in goodwill. Under the purchase method, we were able to record transaction costs related to the completion of the acquisition as goodwill. Under the acquisition method, we are required to expense these costs as they are incurred. We have not completed an acquisition subsequent to April 1,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We measure compensation cost arising from the grant of share-based payments to employees at fair value and recognize such cost over the period during which the employee is required to provide service in exchange for the award, usually the vesting period. Total stock-based compensation expense recognized during the fiscal years ended March 31, 2011, 2010, and 2009 was $13.4 million, $13.5 million, and $9.7 million, respectively. For awards with service conditions only, we recognize compensation cost on a straight-line basis over the requisite service/vesting period. We use the lattice model to value market condition awards. For awards with market conditions with a single cliff vest feature, we recognize compensation costs on a straight-line basis over the requisite service period. For awards with performance condition, accruals of compensation cost are made based on the probable outcome of the performance conditions. The cumulative effect of changes in the probability outcomes are recorded in the period in which the changes occur.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11, “Stockholders’ Equity,” of our consolidated financial statements for further information regarding our stock-based compensation assumptions and expenses.)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 We recognize all derivatives, including forward currency-exchange contracts, in the balance sheet at fair value.</w:t>
      </w:r>
    </w:p>
    <w:p>
      <w:pPr>
        <w:spacing w:after="0" w:line="5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hedge a portion of our intercompany sales of inventory over a maximum period of 15 months using forward foreign currency exchange contracts, accounted for as cash flow hedges, to mitigate the impact of volatility associated with foreign currency transactions.</w:t>
      </w:r>
    </w:p>
    <w:p>
      <w:pPr>
        <w:spacing w:after="0" w:line="59"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Effectiveness is assessed at the inception of the hedge and on a quarterly basis. To the extent that a previously forecasted transaction is no longer an effective hedge, any ineffectiveness measured in the hedging relationship is recorded in earnings in the period the ineffectiveness occurs.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 The assessments determine whether derivatives designated as qualifying hedges continue to be highly effective in offsetting changes in the cash flows of hedged items. Any ineffective portion of the change in fair value is included in current period earnings. Cash flow hedge accounting is deemed ineffective when the forecasted transaction is no longer probable of occurring on the originally forecasted date, or 60 days thereafter. We discontinued hedge accounting for the forward foreign exchange contracts outstanding designated as cash flow hedges as of March 31, 2011 based on our determination that the original forecasted transactions were not probable of occurring by the end of the originally specified time period. As a result, we reclassified accumulated gains of $1.6 million from accumulated other comprehensive income (loss) to other income (expense), net, in the accompanying consolidated statements of operations. At March 31, 2011, the fair value of these forward foreign exchange contracts was $2.0 million.</w:t>
      </w:r>
    </w:p>
    <w:p>
      <w:pPr>
        <w:spacing w:after="0" w:line="6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to cash flow hedges, we also enter into foreign currency forward exchange contracts to mitigate the impact of foreign exchange risk related to non-functional currency receivable balances in its foreign entities. We do not elect hedge accounting treatment for these hedges and consequently, changes in the fair value of these contracts are recorded within other income (expense), net, in the period which they occur.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adjusts the loss provision when appropriate. If the loss is not probable or cannot be reasonably estimated, a liability is not recorded in its consolidated financial statements. If, with respect to a matter, it is not both probable to result in liability and the amount of loss cannot be reasonably estimated, an estimate of possible loss or range of loss shall be disclosed unless such an estimate cannot be made. We do not recognize gain contingencies until they are realized. Legal costs incurred in connection with loss contingencies are expensed as incurred.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Warranty</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exchange risk</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functional currency of each of our foreign subsidiaries is the U.S. dollar, except for AMSC Windtec, for which the local currency (Euro) is the functional currency, and AMSC China, for which the local currency (Renminbi) is the functional currency. The assets and liabilities of AMSC Windtec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Foreign currency transaction gains (losses), net of hedging activities, are included in net income and were $8.0 million, ($2.5) million and ($1.1) million for the fiscal years ended March 31, 2011, 2010 and 2009,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At March 31, 2011, we had forward contracts outstanding to hedge cash flow exposure at our wholly-owned Austrian subsidiary, AMSC Windtec, with aggregate U.S. dollar equivalent notional amounts of $40.9 million. These contracts expire at various dates through March 2012. We discontinued hedge accounting for the forward foreign exchange contracts outstanding as of March 31, 2011 based on our determination that the original forecasted transactions were no longer considered probable of occurring by the end of the originally specified time period. As a result, we reclassified accumulated gains of $1.6 million from accumulated other comprehensive income (loss) to other income (expense), net, in the accompanying consolidated statements of operations. At March 31, 2011, the fair value of these forward foreign exchange contracts was $2.0 million.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Balance Sheet Hedges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addition to cash flow hedges, we also enter into foreign currency forward exchange contracts to mitigate the impact of foreign exchange risk related to non-functional currency receivable balances in our foreign entities. We do not elect hedge accounting treatment for these hedges and consequently, changes in the fair value of these contracts are recorded within other income (expense), net, in the period which they occur. At March 31, 2011, we had forward contracts outstanding with aggregate U.S. dollar equivalent notional amounts of $125.5 million. These contracts expired on April 29, 2011. At March 31, 2011 and 2010, the fair value of these forward foreign exchange contracts was $1.1 million and $0.2 million, respectively.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75"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Superconductor Corporation:</w:t>
      </w:r>
    </w:p>
    <w:p>
      <w:pPr>
        <w:spacing w:after="0" w:line="89" w:lineRule="exact"/>
        <w:rPr>
          <w:sz w:val="20"/>
          <w:szCs w:val="20"/>
          <w:color w:val="auto"/>
        </w:rPr>
      </w:pPr>
    </w:p>
    <w:p>
      <w:pPr>
        <w:jc w:val="both"/>
        <w:ind w:left="680" w:firstLine="399"/>
        <w:spacing w:after="0" w:line="275" w:lineRule="auto"/>
        <w:rPr>
          <w:sz w:val="20"/>
          <w:szCs w:val="20"/>
          <w:color w:val="auto"/>
        </w:rPr>
      </w:pPr>
      <w:r>
        <w:rPr>
          <w:rFonts w:ascii="Arial" w:cs="Arial" w:eastAsia="Arial" w:hAnsi="Arial"/>
          <w:sz w:val="12"/>
          <w:szCs w:val="12"/>
          <w:color w:val="auto"/>
        </w:rPr>
        <w:t xml:space="preserve">In our opinion, the accompanying consolidated balance sheets and the related consolidated statements of operations, comprehensive (loss) income, stockholders’ equity and cash flows present fairly, in all material respects, the financial position of American Superconductor Corporation and its subsidiaries at March 31, 2011 and 2010, and the results of their operations and their cash flows for each of the three years in the period ended March 31, 2011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did not maintain, in all material respects, effective internal control over financial reporting as of March 31,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because material weaknesses in internal control over financial reporting related to revenue recognition, including (i) identifying deviations from contractually established payment terms, (ii) evaluation of the collectability of amounts due from customers, (iii) insufficient compliment of personnel involved with business in foreign locations with the appropriate training in revenue recognition in accordance with generally accepted accounting principles and (iv) improper oversight and review of customer relationships by senior management existed as of that date.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2011 consolidated financial statements and our opinion regarding the effectiveness of the Company’s internal control over financial reporting does not affect our opinion on those consolidated financial statements.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referred to above.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22,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87,594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116,126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54,469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57,290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25,828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35,858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20,294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5,566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5,713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1,776</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319,805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262,994</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96,494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64,315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36,696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Intangibles, net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7,770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7,342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12,016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18,024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441,209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400,184</w:t>
            </w:r>
          </w:p>
        </w:tc>
        <w:tc>
          <w:tcPr>
            <w:tcW w:w="0" w:type="dxa"/>
            <w:vAlign w:val="bottom"/>
          </w:tcPr>
          <w:p>
            <w:pPr>
              <w:spacing w:after="0"/>
              <w:rPr>
                <w:sz w:val="1"/>
                <w:szCs w:val="1"/>
                <w:color w:val="auto"/>
              </w:rPr>
            </w:pPr>
          </w:p>
        </w:tc>
      </w:tr>
      <w:tr>
        <w:trPr>
          <w:trHeight w:val="284"/>
        </w:trPr>
        <w:tc>
          <w:tcPr>
            <w:tcW w:w="81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90,273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84,319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Adverse purchase commitments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10,304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19,970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145,180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104,760</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13,302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148,354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119,219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12)</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3"/>
              </w:rPr>
              <w:t>Common stock, $0.01 par value, 100,000,000 shares authorized, 50,719,827 and 44,845,541 shares issued and outstanding at March 31, 2011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2010, respectively</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885,704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698,417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(7,011)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(597,173)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(410,889)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292,855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280,965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441,209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400,184</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8"/>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w w:val="89"/>
              </w:rPr>
              <w:t>2011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456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286,603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315,955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Cost and operating expenses:</w:t>
            </w:r>
          </w:p>
        </w:tc>
        <w:tc>
          <w:tcPr>
            <w:tcW w:w="4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revenues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308,183</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32,517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23,593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72,382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50,446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Goodwill and long-lived asset impairment</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49,955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Amortization of acquisition related intangibles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1,549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464,586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277,294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190,951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3"/>
                <w:szCs w:val="13"/>
                <w:color w:val="auto"/>
              </w:rPr>
              <w:t>Operating (loss) income</w:t>
            </w: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(177,983)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38,661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830</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6,822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(2,693)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(Loss) income before income tax expense</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(170,331)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Income tax expense</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15,953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20,508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8,735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43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(186,284)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Net (loss) income per common share</w:t>
            </w:r>
          </w:p>
        </w:tc>
        <w:tc>
          <w:tcPr>
            <w:tcW w:w="4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(3.95)</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0.36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(0.39)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2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Basic</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47,103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44,445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42,718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45,290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gridSpan w:val="2"/>
          </w:tcPr>
          <w:p>
            <w:pPr>
              <w:jc w:val="center"/>
              <w:ind w:left="14"/>
              <w:spacing w:after="0"/>
              <w:rPr>
                <w:sz w:val="20"/>
                <w:szCs w:val="20"/>
                <w:color w:val="auto"/>
              </w:rPr>
            </w:pPr>
            <w:r>
              <w:rPr>
                <w:rFonts w:ascii="Arial" w:cs="Arial" w:eastAsia="Arial" w:hAnsi="Arial"/>
                <w:sz w:val="13"/>
                <w:szCs w:val="13"/>
                <w:color w:val="auto"/>
                <w:w w:val="90"/>
              </w:rPr>
              <w:t>The accompanying notes are an integral part of the consolidated financial statements.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20" w:type="dxa"/>
            <w:vAlign w:val="bottom"/>
          </w:tcPr>
          <w:p>
            <w:pPr>
              <w:jc w:val="right"/>
              <w:ind w:right="1874"/>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Year Ended March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Net (loss) income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(186,284)</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16,248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(16,635)</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income to net cash (used in) provided by operations: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11,300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9,789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 expense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13,412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13,494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9,672</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Stock-based compensation expense — non-employee</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of goodwill</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48,959</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Impairment of long-lived and intangible assets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996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Provision for excess and obsolete inventory</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63,882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Losses on purchase commitments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38,763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Allowance for doubtful accounts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Write-off of prepaid value added taxes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5,905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Re-valuation of warrant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1,335</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3,660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non-cash items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Changes in operating asset and liability accounts: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63,175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(16,993)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(17,563)</w:t>
            </w:r>
          </w:p>
        </w:tc>
        <w:tc>
          <w:tcPr>
            <w:tcW w:w="0" w:type="dxa"/>
            <w:vAlign w:val="bottom"/>
          </w:tcPr>
          <w:p>
            <w:pPr>
              <w:spacing w:after="0"/>
              <w:rPr>
                <w:sz w:val="1"/>
                <w:szCs w:val="1"/>
                <w:color w:val="auto"/>
              </w:rPr>
            </w:pP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Inventory</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(51,942)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(24,382)</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(15,428)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(10,051)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(7,559)</w:t>
            </w:r>
          </w:p>
        </w:tc>
        <w:tc>
          <w:tcPr>
            <w:tcW w:w="0" w:type="dxa"/>
            <w:vAlign w:val="bottom"/>
          </w:tcPr>
          <w:p>
            <w:pPr>
              <w:spacing w:after="0"/>
              <w:rPr>
                <w:sz w:val="1"/>
                <w:szCs w:val="1"/>
                <w:color w:val="auto"/>
              </w:rPr>
            </w:pP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Accounts payable and accrued expenses</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23,775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27,210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(21,398)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3"/>
                <w:szCs w:val="13"/>
                <w:color w:val="auto"/>
              </w:rPr>
              <w:t>Net cash (used in) provided by operating activities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(22,821)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40,680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Purchase of property, plant and equipment</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(40,862)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(16,541)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(6,532)</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marketable securities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(157,905)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(81,980)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(89,576)</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Proceeds from the maturity of marketable securities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104,830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59,387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88,605</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restricted cash</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5,699</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Purchase of intangible assets</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(2,514)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(1,516)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minority investments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(9,765)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Change in other assets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1,136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(104,833)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(39,996)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(3,490)</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public equity offering, net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155,240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Proceeds from exercise of employee stock options and ESPP</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7,818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19,003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12,463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financing activities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163,058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12,463</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785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(2,767)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(3,707)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36,189</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16,920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2,840</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87,594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70,674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67,834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123,783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87,594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70,674</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20"/>
                <w:szCs w:val="20"/>
                <w:color w:val="auto"/>
              </w:rPr>
            </w:pPr>
            <w:r>
              <w:rPr>
                <w:rFonts w:ascii="Arial" w:cs="Arial" w:eastAsia="Arial" w:hAnsi="Arial"/>
                <w:sz w:val="13"/>
                <w:szCs w:val="13"/>
                <w:color w:val="auto"/>
              </w:rPr>
              <w:t>Supplemental schedule of cash flow information:</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paid for income taxes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16,434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5,269</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Non-cash contingent consideration in connection with acquisitions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10,004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11,008</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issuance of common stock</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000" w:type="dxa"/>
            <w:vAlign w:val="bottom"/>
          </w:tcPr>
          <w:p>
            <w:pPr>
              <w:spacing w:after="0"/>
              <w:rPr>
                <w:sz w:val="9"/>
                <w:szCs w:val="9"/>
                <w:color w:val="auto"/>
              </w:rPr>
            </w:pPr>
          </w:p>
        </w:tc>
        <w:tc>
          <w:tcPr>
            <w:tcW w:w="1140" w:type="dxa"/>
            <w:vAlign w:val="bottom"/>
            <w:gridSpan w:val="5"/>
          </w:tcPr>
          <w:p>
            <w:pPr>
              <w:jc w:val="right"/>
              <w:ind w:right="360"/>
              <w:spacing w:after="0"/>
              <w:rPr>
                <w:sz w:val="20"/>
                <w:szCs w:val="20"/>
                <w:color w:val="auto"/>
              </w:rPr>
            </w:pPr>
            <w:r>
              <w:rPr>
                <w:rFonts w:ascii="Arial" w:cs="Arial" w:eastAsia="Arial" w:hAnsi="Arial"/>
                <w:sz w:val="9"/>
                <w:szCs w:val="9"/>
                <w:b w:val="1"/>
                <w:bCs w:val="1"/>
                <w:color w:val="auto"/>
              </w:rPr>
              <w:t>Common Stock</w:t>
            </w: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Deferred</w:t>
            </w:r>
          </w:p>
        </w:tc>
        <w:tc>
          <w:tcPr>
            <w:tcW w:w="120" w:type="dxa"/>
            <w:vAlign w:val="bottom"/>
          </w:tcPr>
          <w:p>
            <w:pPr>
              <w:spacing w:after="0"/>
              <w:rPr>
                <w:sz w:val="9"/>
                <w:szCs w:val="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3"/>
              </w:rPr>
              <w:t>Accumulated Other</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70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rPr>
              <w:t>Number</w:t>
            </w:r>
          </w:p>
        </w:tc>
        <w:tc>
          <w:tcPr>
            <w:tcW w:w="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jc w:val="right"/>
              <w:spacing w:after="0" w:line="75" w:lineRule="exact"/>
              <w:rPr>
                <w:sz w:val="20"/>
                <w:szCs w:val="20"/>
                <w:color w:val="auto"/>
              </w:rPr>
            </w:pPr>
            <w:r>
              <w:rPr>
                <w:rFonts w:ascii="Arial" w:cs="Arial" w:eastAsia="Arial" w:hAnsi="Arial"/>
                <w:sz w:val="8"/>
                <w:szCs w:val="8"/>
                <w:b w:val="1"/>
                <w:bCs w:val="1"/>
                <w:color w:val="auto"/>
              </w:rPr>
              <w:t>Par</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tcPr>
          <w:p>
            <w:pPr>
              <w:jc w:val="right"/>
              <w:ind w:right="300"/>
              <w:spacing w:after="0" w:line="75"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920" w:type="dxa"/>
            <w:vAlign w:val="bottom"/>
            <w:gridSpan w:val="2"/>
          </w:tcPr>
          <w:p>
            <w:pPr>
              <w:jc w:val="center"/>
              <w:ind w:right="280"/>
              <w:spacing w:after="0" w:line="75" w:lineRule="exact"/>
              <w:rPr>
                <w:sz w:val="20"/>
                <w:szCs w:val="20"/>
                <w:color w:val="auto"/>
              </w:rPr>
            </w:pPr>
            <w:r>
              <w:rPr>
                <w:rFonts w:ascii="Arial" w:cs="Arial" w:eastAsia="Arial" w:hAnsi="Arial"/>
                <w:sz w:val="8"/>
                <w:szCs w:val="8"/>
                <w:b w:val="1"/>
                <w:bCs w:val="1"/>
                <w:color w:val="auto"/>
              </w:rPr>
              <w:t>Contract</w:t>
            </w:r>
          </w:p>
        </w:tc>
        <w:tc>
          <w:tcPr>
            <w:tcW w:w="120" w:type="dxa"/>
            <w:vAlign w:val="bottom"/>
          </w:tcPr>
          <w:p>
            <w:pPr>
              <w:spacing w:after="0"/>
              <w:rPr>
                <w:sz w:val="6"/>
                <w:szCs w:val="6"/>
                <w:color w:val="auto"/>
              </w:rPr>
            </w:pPr>
          </w:p>
        </w:tc>
        <w:tc>
          <w:tcPr>
            <w:tcW w:w="1260" w:type="dxa"/>
            <w:vAlign w:val="bottom"/>
            <w:gridSpan w:val="2"/>
          </w:tcPr>
          <w:p>
            <w:pPr>
              <w:jc w:val="center"/>
              <w:ind w:right="320"/>
              <w:spacing w:after="0" w:line="7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6"/>
                <w:szCs w:val="6"/>
                <w:color w:val="auto"/>
              </w:rPr>
            </w:pPr>
          </w:p>
        </w:tc>
        <w:tc>
          <w:tcPr>
            <w:tcW w:w="80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Accumulated</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of Shares</w:t>
            </w:r>
          </w:p>
        </w:tc>
        <w:tc>
          <w:tcPr>
            <w:tcW w:w="440" w:type="dxa"/>
            <w:vAlign w:val="bottom"/>
            <w:gridSpan w:val="3"/>
          </w:tcPr>
          <w:p>
            <w:pPr>
              <w:spacing w:after="0"/>
              <w:rPr>
                <w:sz w:val="20"/>
                <w:szCs w:val="20"/>
                <w:color w:val="auto"/>
              </w:rPr>
            </w:pPr>
            <w:r>
              <w:rPr>
                <w:rFonts w:ascii="Arial" w:cs="Arial" w:eastAsia="Arial" w:hAnsi="Arial"/>
                <w:sz w:val="9"/>
                <w:szCs w:val="9"/>
                <w:b w:val="1"/>
                <w:bCs w:val="1"/>
                <w:color w:val="auto"/>
              </w:rPr>
              <w:t>Value</w:t>
            </w:r>
          </w:p>
        </w:tc>
        <w:tc>
          <w:tcPr>
            <w:tcW w:w="80" w:type="dxa"/>
            <w:vAlign w:val="bottom"/>
          </w:tcPr>
          <w:p>
            <w:pPr>
              <w:spacing w:after="0"/>
              <w:rPr>
                <w:sz w:val="9"/>
                <w:szCs w:val="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9"/>
              </w:rPr>
              <w:t>Capital</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Costs-Warrant</w:t>
            </w:r>
          </w:p>
        </w:tc>
        <w:tc>
          <w:tcPr>
            <w:tcW w:w="120" w:type="dxa"/>
            <w:vAlign w:val="bottom"/>
          </w:tcPr>
          <w:p>
            <w:pPr>
              <w:spacing w:after="0"/>
              <w:rPr>
                <w:sz w:val="9"/>
                <w:szCs w:val="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Income (Loss)</w:t>
            </w:r>
          </w:p>
        </w:tc>
        <w:tc>
          <w:tcPr>
            <w:tcW w:w="80" w:type="dxa"/>
            <w:vAlign w:val="bottom"/>
          </w:tcPr>
          <w:p>
            <w:pPr>
              <w:spacing w:after="0"/>
              <w:rPr>
                <w:sz w:val="9"/>
                <w:szCs w:val="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April 1, 2008</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41,542</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415</w:t>
            </w: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615,025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3,522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(410,502)</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208,452</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738</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12,167</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12,174</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warrants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148</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4,339</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4,341</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289</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289</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404</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9,672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9,672</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stock for calendar 2008 401(k) match</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25</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556</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556</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424</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11,003</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11,008</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Amortization of deferred warrant costs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losses on investments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(113)</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(113)</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(7,896)</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(7,896)</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(16,635)</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(16,635)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9"/>
                <w:szCs w:val="9"/>
                <w:color w:val="auto"/>
              </w:rPr>
              <w:t>Balance at March 31, 2009</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vMerge w:val="continue"/>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43,298</w:t>
            </w:r>
          </w:p>
        </w:tc>
        <w:tc>
          <w:tcPr>
            <w:tcW w:w="200" w:type="dxa"/>
            <w:vAlign w:val="bottom"/>
            <w:vMerge w:val="continue"/>
          </w:tcPr>
          <w:p>
            <w:pPr>
              <w:spacing w:after="0"/>
              <w:rPr>
                <w:sz w:val="8"/>
                <w:szCs w:val="8"/>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200" w:type="dxa"/>
            <w:vAlign w:val="bottom"/>
          </w:tcPr>
          <w:p>
            <w:pPr>
              <w:jc w:val="right"/>
              <w:spacing w:after="0" w:line="98" w:lineRule="exact"/>
              <w:rPr>
                <w:sz w:val="20"/>
                <w:szCs w:val="20"/>
                <w:color w:val="auto"/>
              </w:rPr>
            </w:pPr>
            <w:r>
              <w:rPr>
                <w:rFonts w:ascii="Arial" w:cs="Arial" w:eastAsia="Arial" w:hAnsi="Arial"/>
                <w:sz w:val="9"/>
                <w:szCs w:val="9"/>
                <w:color w:val="auto"/>
              </w:rPr>
              <w:t>433</w:t>
            </w:r>
          </w:p>
        </w:tc>
        <w:tc>
          <w:tcPr>
            <w:tcW w:w="200" w:type="dxa"/>
            <w:vAlign w:val="bottom"/>
            <w:vMerge w:val="continue"/>
          </w:tcPr>
          <w:p>
            <w:pPr>
              <w:spacing w:after="0"/>
              <w:rPr>
                <w:sz w:val="8"/>
                <w:szCs w:val="8"/>
                <w:color w:val="auto"/>
              </w:rPr>
            </w:pPr>
          </w:p>
        </w:tc>
        <w:tc>
          <w:tcPr>
            <w:tcW w:w="80" w:type="dxa"/>
            <w:vAlign w:val="bottom"/>
          </w:tcPr>
          <w:p>
            <w:pPr>
              <w:jc w:val="right"/>
              <w:ind w:right="12"/>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98" w:lineRule="exact"/>
              <w:rPr>
                <w:sz w:val="20"/>
                <w:szCs w:val="20"/>
                <w:color w:val="auto"/>
              </w:rPr>
            </w:pPr>
            <w:r>
              <w:rPr>
                <w:rFonts w:ascii="Arial" w:cs="Arial" w:eastAsia="Arial" w:hAnsi="Arial"/>
                <w:sz w:val="9"/>
                <w:szCs w:val="9"/>
                <w:color w:val="auto"/>
              </w:rPr>
              <w:t>653,054</w:t>
            </w:r>
          </w:p>
        </w:tc>
        <w:tc>
          <w:tcPr>
            <w:tcW w:w="200" w:type="dxa"/>
            <w:vAlign w:val="bottom"/>
            <w:vMerge w:val="continue"/>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98" w:lineRule="exact"/>
              <w:rPr>
                <w:sz w:val="20"/>
                <w:szCs w:val="20"/>
                <w:color w:val="auto"/>
              </w:rPr>
            </w:pPr>
            <w:r>
              <w:rPr>
                <w:rFonts w:ascii="Arial" w:cs="Arial" w:eastAsia="Arial" w:hAnsi="Arial"/>
                <w:sz w:val="9"/>
                <w:szCs w:val="9"/>
                <w:color w:val="auto"/>
              </w:rPr>
              <w:t>(4,487)</w:t>
            </w:r>
          </w:p>
        </w:tc>
        <w:tc>
          <w:tcPr>
            <w:tcW w:w="200" w:type="dxa"/>
            <w:vAlign w:val="bottom"/>
            <w:vMerge w:val="continue"/>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(427,137)</w:t>
            </w:r>
          </w:p>
        </w:tc>
        <w:tc>
          <w:tcPr>
            <w:tcW w:w="180" w:type="dxa"/>
            <w:vAlign w:val="bottom"/>
            <w:vMerge w:val="continue"/>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98" w:lineRule="exact"/>
              <w:rPr>
                <w:sz w:val="20"/>
                <w:szCs w:val="20"/>
                <w:color w:val="auto"/>
              </w:rPr>
            </w:pPr>
            <w:r>
              <w:rPr>
                <w:rFonts w:ascii="Arial" w:cs="Arial" w:eastAsia="Arial" w:hAnsi="Arial"/>
                <w:sz w:val="9"/>
                <w:szCs w:val="9"/>
                <w:color w:val="auto"/>
              </w:rPr>
              <w:t>221,861</w:t>
            </w: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810</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18,632</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18,640</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363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363</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233</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13,494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13,494</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138</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138</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stock for calendar 2009 401(k) match</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857</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858</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426</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10,824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10,828</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Minority interest investment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1,057</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1,057</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Amortization of deferred warrant costs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Net unrealized losses on investments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(37)</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(2,487)</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(2,487)</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16,248</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16,248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March 31, 2010</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44,846</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448</w:t>
            </w: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698,417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(7,011)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(410,889)</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280,965</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567</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7,198</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7,204</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614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614</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301</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6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13,412</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13,412</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31</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31</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stock for calendar 2010 401(k) match</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841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841</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follow-on public offering, net of costs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4,600</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46</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155,194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155,240</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350</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10,000</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10,004</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Net unrealized losses on investments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(90)</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(90)</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10,918</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10,918</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(186,284)</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(186,284)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March 31, 2011</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50,719</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507</w:t>
            </w: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885,704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3,817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(597,173)</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292,855</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CONSOLIDATED STATEMENTS OF COMPREHENSIVE (LOSS) INCOME</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Year Ended March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(186,284)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(16,635)</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Other comprehensive (loss) income, net of tax:</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translation gains (losses)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10,918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(7,896)</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Unrealized gains on cash flow hedges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1,170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Reclassification of ineffective hedge gains to net income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Unrealized losses on investments</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Total other comprehensive income (loss), net of tax</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10,828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(2,524)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(8,009)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Comprehensive (loss) income</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(175,456)</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13,724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(24,644)</w:t>
            </w:r>
          </w:p>
        </w:tc>
        <w:tc>
          <w:tcPr>
            <w:tcW w:w="0" w:type="dxa"/>
            <w:vAlign w:val="bottom"/>
          </w:tcPr>
          <w:p>
            <w:pPr>
              <w:spacing w:after="0"/>
              <w:rPr>
                <w:sz w:val="1"/>
                <w:szCs w:val="1"/>
                <w:color w:val="auto"/>
              </w:rPr>
            </w:pPr>
          </w:p>
        </w:tc>
      </w:tr>
      <w:tr>
        <w:trPr>
          <w:trHeight w:val="30"/>
        </w:trPr>
        <w:tc>
          <w:tcPr>
            <w:tcW w:w="7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the Business and Operations</w:t>
      </w:r>
    </w:p>
    <w:p>
      <w:pPr>
        <w:spacing w:after="0" w:line="10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American Superconductor Corporation (the “Company” or “AMSC”) was founded in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our transmission planning services and power electronics and superconductor based products. The Company’s wind and power grid products and services provide exceptional reliability, security, efficiency and affordability to its customers. The Company operates in two business units: AMSC Power Systems and AMSC Superconductors.</w:t>
      </w:r>
    </w:p>
    <w:p>
      <w:pPr>
        <w:spacing w:after="0" w:line="5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2"/>
          <w:szCs w:val="12"/>
          <w:color w:val="auto"/>
        </w:rPr>
        <w:t>At March 31, 2011 and June 30, 2011, the Company had cash, cash equivalents, marketable securities and restricted cash of $245.5 million and $166.2 million, respectively. The Company’s business plan anticipates a substantial decline in revenues and a substantial use of cash from operations in its fiscal year ending March 31, 2012, particularly in light of the difficult and uncertain current economic environment, the significant restructuring actions undertaken and the uncertainty surrounding Sinovel Wind Group Co. Ltd. (“Sinovel”), which has historically accounted for more than two-thirds of the Company’s revenues, and certain of its other customers in China. The Company’s plan includes a significant restructuring undertaken in August 2011, resulting in the elimination of approximately 150 positions worldwide. Since April 1, 2011, the Company has eliminated approximately 30% of its workforce and it expects to save approximately $30 million annually as a result of these reductions. See Note 18, “Subsequent Events.” Additional actions include further monitoring of its operating results against expectations and, if required, further reducing operating costs and capital spending if events warrant in order to enhance liquidity. Due to the disruption in its relationship with Sinovel, the Company will need to raise additional capital in order to complete the planned acquisition of The Switch, a power technologies company headquartered in Finland (see Note 18) in order to have sufficient cash to fund its working capital, capital expenditures and other cash requirements. The Company may seek this financing through public or private equity offerings, debt financings, or other financing alternatives, however, there can be no assurance that financing will be available on acceptable terms or at all. If the Company fails to raise sufficient additional funds and terminates the purchase agreement for the acquisition of The Switch, it will likely forfeit the $20.6 million cash advance payment it paid to the shareholders of The Switch on June 29, 2011. In the event that the Company does not receive any additional payments from Sinovel and it neither completes the planned acquisition of The Switch, nor raises additional capital, the Company believes that its available cash, together with additional reductions in operating costs and capital expenditures as necessary will be sufficient to fund its operations, capital expenditures and other cash requirements through at least March 31, 2012. The Company’s long-term liquidity is dependent on its ability to profitably grow its revenues or raise additional capital as required.</w:t>
      </w:r>
    </w:p>
    <w:p>
      <w:pPr>
        <w:spacing w:after="0" w:line="142"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 These reclassifications had no effect on net income, cash flows from operating activities or stockholders’ equity.</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Company’s fiscal year begins on April 1 and ends on March 31. When the Company refers to a particular fiscal year, it is referring to the fiscal year beginning on April 1 of that same year. For example, fiscal 2010 refers to the fiscal year beginning on April 1, 2010. Other fiscal years follow similarly.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Restatements of Unaudited Condensed Consolidated Financial Statements</w:t>
      </w:r>
    </w:p>
    <w:p>
      <w:pPr>
        <w:spacing w:after="0" w:line="96"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The Company previously restated its unaudited condensed consolidated financial statements for the fiscal quarters ended September 30, 2010 and December 31, 2010 as reflected in amended Quarterly Reports on Form 10-Q for the applicable periods. The restatements related to the Company’s determination that revenues were incorrectly recorded in the second quarter of fiscal 2010 for certain of the Company’s customers in China as the fee for shipments of products to these customers was not fixed or determinable or collectability was not reasonably assured at the time of shipment. Further, as a result of aging receivables and other negative events surrounding the customer relationship, the Company concluded that revenue related to shipments to Sinovel, was incorrectly recorded in the third quarter of fiscal 2010 as collectability was not reasonably assured at the time of shipments. As a result, accounting errors were identified that affected the Company’s reported results for the quarters ended September 30, 2010 and December 31, 2010. For these customers, the Company has restated revenues based on a cash basis of accounting with cash applied first against accounts receivable balances, as in the case of Sinovel as of September 30, 2010, then costs of shipments (inventory and value added taxes) before recognizing any gross margin. For certain Chinese customers other than Sinovel, the Company has determined that this method of accounting should have been applied for shipments after August 31, 2010. For Sinovel, the Company has determined that this method of accounting should have been applied for shipments after September 30, 2010. The Company had previously recognized revenues in the quarters ended September 30, 2010 and December 31, 2010 based on the receipt of shipments by these customers but prior to the Company’s receipt of payment for such shipments.</w:t>
      </w:r>
    </w:p>
    <w:p>
      <w:pPr>
        <w:spacing w:after="0" w:line="60"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In connection with the errors identified by the Company resulting in the restatement of the Company’s unaudited condensed consolidated financial statements for the quarterly periods ending September 30, 2010 and December 31, 2010, the Company identified control deficiencies in its internal controls that constitute material weaknesses. The deficiencies center on its controls over its revenue and accounts receivable balances, as fees were not fixed or determinable or collectability was not reasonably assured at the time revenue was recognized. As a result of these deficiencies, the Company determined that its disclosure controls and procedures were ineffective as of September 30, 2010, December 31, 2010, March 31, 2011, and June 30, 2011.</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of the United States of America,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warranty provisions, stock-based compensation,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Equivalents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considers all highly liquid debt instruments with original maturities of three months or less to be cash equivalents. Cash equivalents consist principally of certificates of deposits and money market accounts.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Marketable securities consist primarily of government-backed securities and commercial paper.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Fair values are based on quoted market prices. The unrealized gains and losses related to these securities are included in accumulated other comprehensive income (loss). When securities are sold, the cost is determined based on the specific identification method and realized gains and losses are included in interest income, net.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Accounts receivable consist of amounts owed by commercial companies and government agencies. Accounts receivable are stated net of allowances for doubtful accounts. The Company’s accounts receivable relate principally to a limited number of customers. Changes in the financial condition or operations of our customers may result in increased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and results of operations.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2011 and 2010, Sinovel represented 0% and 61% of the total accounts receivable balance,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Inventories include material, direct labor and related manufacturing overhead, and are stated at the lower of cost or market determined on a first-in, first-out basis. The Company records inventory when it takes delivery and title to the product.</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Program costs may be deferred and recorded as inventory on contracts on which costs are incurred in excess of approved contractual amounts and/or funding, if future recovery of the costs is deemed probable.</w:t>
      </w:r>
    </w:p>
    <w:p>
      <w:pPr>
        <w:spacing w:after="0" w:line="59"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At each balance sheet date, the Company evaluates its ending inventories for excess quantities and obsolescence. Inventories that management consider excess or obsolete are written down.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32"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Company recorded an inventory write-down of approximately $63.9 million during fiscal 2010 based on its evaluation of forecasted demand in relation to the inventory on hand and market conditions surrounding its products as a result of the assumption that Sinovel and certain other customers in China will fail to meet their contractual obligations and demand that was previously forecasted will fail to materialize. If in any period the Company is able to sell inventories that had been written down in a previous period, related revenues would be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recorded without any offsetting charge to cost of revenues, resulting in a net benefit to its gross margin in that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Commitments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periodically enters into non-cancelable purchase contracts in order to ensure the availability of materials to support production of its products. The Company periodically assesses the need to provide for impairment on these purchase contracts and record a loss on purchase commitments when required. During the fourth quarter of fiscal 2010, the Company recorded losses of $38.8 million to cost of revenues as a result of commitments to purchase materials that were in excess of its estimated future demand from certain of its customers in China.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 The Company does not enter into derivative instruments for trading or speculative purposes.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Flow Hedges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hedges a portion of its intercompany sales of inventory over a maximum period of 15 months using forward foreign currency exchange contracts, accounted for as cash flow hedges, to mitigate the impact of volatility associated with foreign currency transactions.</w:t>
      </w:r>
    </w:p>
    <w:p>
      <w:pPr>
        <w:spacing w:after="0" w:line="59"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Effectiveness is assessed at the inception of the hedge and on a quarterly basis. To the extent that a previously forecasted transaction is no longer an effective hedge, any ineffectiveness measured in the hedging relationship is recorded in earnings in the period the ineffectiveness occurs.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 The assessments determine whether derivatives designated as qualifying hedges continue to be highly effective in offsetting changes in the cash flows of hedged items. Any ineffective portion of the change in fair value is included in current period earnings. Cash flow hedge accounting is deemed ineffective when the forecasted transaction is no longer probable of occurring on the originally forecasted date, or 60 days thereafter.</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Balance Sheet Hedges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to cash flow hedges, the Company also enters into foreign currency forward exchange contracts to mitigate the impact of foreign exchange risk related to certain non-functional currency receivable balances in its foreign entities. The Company does not elect hedge accounting treatment for these hedges and consequently, changes in the fair value of these contracts are recorded within other income (expense), net, in the period which they occur.</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All derivatives, whether designated in a hedging relationship or not, are required to be recorded on the balance sheet at fair value. This guidance also requires that changes in the derivative’s fair value be recognized currently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earnings unless specific hedge accounting criteria are met, and that the Company formally document, designate, and assess the effectiveness of transactions that receive hedge accounting.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effectiveness of the derivative as a hedging instrument is based on changes in its market value being highly correlated with changes in the market value of the underlying hedged item.</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61" w:lineRule="exact"/>
        <w:rPr>
          <w:sz w:val="20"/>
          <w:szCs w:val="20"/>
          <w:color w:val="auto"/>
        </w:rPr>
      </w:pPr>
    </w:p>
    <w:p>
      <w:pPr>
        <w:ind w:left="680"/>
        <w:spacing w:after="0"/>
        <w:tabs>
          <w:tab w:leader="none" w:pos="8220" w:val="left"/>
        </w:tabs>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sset Classification</w:t>
      </w:r>
      <w:r>
        <w:rPr>
          <w:sz w:val="20"/>
          <w:szCs w:val="20"/>
          <w:color w:val="auto"/>
        </w:rPr>
        <w:tab/>
      </w:r>
      <w:r>
        <w:rPr>
          <w:rFonts w:ascii="Arial" w:cs="Arial" w:eastAsia="Arial" w:hAnsi="Arial"/>
          <w:sz w:val="9"/>
          <w:szCs w:val="9"/>
          <w:b w:val="1"/>
          <w:bCs w:val="1"/>
          <w:u w:val="single" w:color="auto"/>
          <w:color w:val="auto"/>
        </w:rPr>
        <w:t>E</w:t>
      </w:r>
      <w:r>
        <w:rPr>
          <w:rFonts w:ascii="Arial" w:cs="Arial" w:eastAsia="Arial" w:hAnsi="Arial"/>
          <w:sz w:val="9"/>
          <w:szCs w:val="9"/>
          <w:b w:val="1"/>
          <w:bCs w:val="1"/>
          <w:color w:val="auto"/>
        </w:rPr>
        <w:t>stimated Useful Life in Years</w:t>
      </w:r>
    </w:p>
    <w:p>
      <w:pPr>
        <w:sectPr>
          <w:pgSz w:w="11900" w:h="16838" w:orient="portrait"/>
          <w:cols w:equalWidth="0" w:num="1">
            <w:col w:w="10660"/>
          </w:cols>
          <w:pgMar w:left="220" w:top="343" w:right="1019" w:bottom="1440" w:gutter="0" w:footer="0" w:header="0"/>
        </w:sectPr>
      </w:pPr>
    </w:p>
    <w:p>
      <w:pPr>
        <w:spacing w:after="0" w:line="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Building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Process upgrades to the building</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Machinery and equipment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Furniture and fixtures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Leasehold improvements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128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-88900</wp:posOffset>
            </wp:positionV>
            <wp:extent cx="6335395" cy="996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jc w:val="center"/>
        <w:ind w:right="1280"/>
        <w:spacing w:after="0"/>
        <w:rPr>
          <w:sz w:val="20"/>
          <w:szCs w:val="20"/>
          <w:color w:val="auto"/>
        </w:rPr>
      </w:pPr>
      <w:r>
        <w:rPr>
          <w:rFonts w:ascii="Arial" w:cs="Arial" w:eastAsia="Arial" w:hAnsi="Arial"/>
          <w:sz w:val="13"/>
          <w:szCs w:val="13"/>
          <w:color w:val="auto"/>
        </w:rPr>
        <w:t>10-40</w:t>
      </w:r>
    </w:p>
    <w:p>
      <w:pPr>
        <w:spacing w:after="0" w:line="8" w:lineRule="exact"/>
        <w:rPr>
          <w:sz w:val="20"/>
          <w:szCs w:val="20"/>
          <w:color w:val="auto"/>
        </w:rPr>
      </w:pPr>
    </w:p>
    <w:p>
      <w:pPr>
        <w:jc w:val="center"/>
        <w:ind w:right="1280"/>
        <w:spacing w:after="0"/>
        <w:rPr>
          <w:sz w:val="20"/>
          <w:szCs w:val="20"/>
          <w:color w:val="auto"/>
        </w:rPr>
      </w:pPr>
      <w:r>
        <w:rPr>
          <w:rFonts w:ascii="Arial" w:cs="Arial" w:eastAsia="Arial" w:hAnsi="Arial"/>
          <w:sz w:val="13"/>
          <w:szCs w:val="13"/>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-93345</wp:posOffset>
            </wp:positionV>
            <wp:extent cx="6335395" cy="99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jc w:val="center"/>
        <w:ind w:right="1280"/>
        <w:spacing w:after="0"/>
        <w:rPr>
          <w:sz w:val="20"/>
          <w:szCs w:val="20"/>
          <w:color w:val="auto"/>
        </w:rPr>
      </w:pPr>
      <w:r>
        <w:rPr>
          <w:rFonts w:ascii="Arial" w:cs="Arial" w:eastAsia="Arial" w:hAnsi="Arial"/>
          <w:sz w:val="13"/>
          <w:szCs w:val="13"/>
          <w:color w:val="auto"/>
        </w:rPr>
        <w:t>3-5</w:t>
      </w:r>
    </w:p>
    <w:p>
      <w:pPr>
        <w:spacing w:after="0" w:line="8" w:lineRule="exact"/>
        <w:rPr>
          <w:sz w:val="20"/>
          <w:szCs w:val="20"/>
          <w:color w:val="auto"/>
        </w:rPr>
      </w:pPr>
    </w:p>
    <w:p>
      <w:pPr>
        <w:jc w:val="center"/>
        <w:ind w:right="1320"/>
        <w:spacing w:after="0"/>
        <w:rPr>
          <w:sz w:val="20"/>
          <w:szCs w:val="20"/>
          <w:color w:val="auto"/>
        </w:rPr>
      </w:pPr>
      <w:r>
        <w:rPr>
          <w:rFonts w:ascii="Arial" w:cs="Arial" w:eastAsia="Arial" w:hAnsi="Arial"/>
          <w:sz w:val="11"/>
          <w:szCs w:val="11"/>
          <w:color w:val="auto"/>
        </w:rPr>
        <w:t>Shorter of the estimated useful life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-78740</wp:posOffset>
            </wp:positionV>
            <wp:extent cx="6335395" cy="2000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5395" cy="200025"/>
                    </a:xfrm>
                    <a:prstGeom prst="rect">
                      <a:avLst/>
                    </a:prstGeom>
                    <a:noFill/>
                  </pic:spPr>
                </pic:pic>
              </a:graphicData>
            </a:graphic>
          </wp:anchor>
        </w:drawing>
      </w:r>
    </w:p>
    <w:p>
      <w:pPr>
        <w:spacing w:after="0" w:line="11" w:lineRule="exact"/>
        <w:rPr>
          <w:sz w:val="20"/>
          <w:szCs w:val="20"/>
          <w:color w:val="auto"/>
        </w:rPr>
      </w:pPr>
    </w:p>
    <w:p>
      <w:pPr>
        <w:jc w:val="center"/>
        <w:ind w:right="1280"/>
        <w:spacing w:after="0"/>
        <w:rPr>
          <w:sz w:val="20"/>
          <w:szCs w:val="20"/>
          <w:color w:val="auto"/>
        </w:rPr>
      </w:pPr>
      <w:r>
        <w:rPr>
          <w:rFonts w:ascii="Arial" w:cs="Arial" w:eastAsia="Arial" w:hAnsi="Arial"/>
          <w:sz w:val="13"/>
          <w:szCs w:val="13"/>
          <w:color w:val="auto"/>
        </w:rPr>
        <w:t>remaining lease term</w:t>
      </w:r>
    </w:p>
    <w:p>
      <w:pPr>
        <w:spacing w:after="0" w:line="89" w:lineRule="exact"/>
        <w:rPr>
          <w:sz w:val="20"/>
          <w:szCs w:val="20"/>
          <w:color w:val="auto"/>
        </w:rPr>
      </w:pPr>
    </w:p>
    <w:p>
      <w:pPr>
        <w:sectPr>
          <w:pgSz w:w="11900" w:h="16838" w:orient="portrait"/>
          <w:cols w:equalWidth="0" w:num="2">
            <w:col w:w="6460" w:space="720"/>
            <w:col w:w="3480"/>
          </w:cols>
          <w:pgMar w:left="220" w:top="343" w:right="1019" w:bottom="1440" w:gutter="0" w:footer="0" w:header="0"/>
          <w:type w:val="continuous"/>
        </w:sectPr>
      </w:pPr>
    </w:p>
    <w:p>
      <w:pPr>
        <w:jc w:val="both"/>
        <w:ind w:left="680" w:firstLine="399"/>
        <w:spacing w:after="0" w:line="276" w:lineRule="auto"/>
        <w:rPr>
          <w:sz w:val="20"/>
          <w:szCs w:val="20"/>
          <w:color w:val="auto"/>
        </w:rPr>
      </w:pPr>
      <w:r>
        <w:rPr>
          <w:rFonts w:ascii="Arial" w:cs="Arial" w:eastAsia="Arial" w:hAnsi="Arial"/>
          <w:sz w:val="13"/>
          <w:szCs w:val="13"/>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The Company tests goodwill for impairment at least annually and more frequently upon the occurrence of certain events, which may indicate that impairment has occurred. The provisions of the accounting guidance for goodwill require that a two-step impairment test be performed on goodwill. In the first step, the Company compares the fair value, which is usually determined by the use of a discounted cash flow technique, of the reporting unit to its carrying value. If the fair value of the reporting unit exceeds the carrying value of the net assets of that reporting unit, goodwill is not impaired and the Company is not required to perform further testing. If the carrying value of the net assets assigned to the reporting unit exceeds the fair value of that unit, then the Company must perform the second step of the impairment test in order to determine the implied fair value of the reporting unit goodwill. If the carrying value of a reporting unit’s goodwill exceeds it implied fair value, the Company records an impairment loss equal to the difference.</w:t>
      </w:r>
    </w:p>
    <w:p>
      <w:pPr>
        <w:spacing w:after="0" w:line="59"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The Company has determined that it has two reporting units to which goodwill is allocated — Windtec, China and International Subsidiaries (“Windtec”) and Power Systems North America (“PSNA”). The Superconductor reporting unit does not have goodwill. Determining the fair value of a reporting unit is judgmental in nature, and usually involves the use of significant estimates and assumptions. These estimates and assumptions may include revenue growth rates and operating margins used to calculate projected future cash flows, risk-adjusted discount rates, future economic and market conditions, the determination of appropriate market comparables as well as the fair value of individual assets and liabilities. Consistent with prior years, the Company used an income approach, specifically a discounted cash flow (“DCF”) method, to establish the fair value of the reporting units as of March 31, 2011. As in prior years, the Company used the most recent five year strategic plan approved by the Board of Directors as the initial basis of its analysis. Currently, the Company is not able to estimate additional cash flows to replace the loss of Sinovel revenues. As a result, the DCF for both reporting units yielded a negative fair value. In order to more appropriately consider fair values of the reporting units, the Company assessed the fair value of its Windtec and PSNA reporting units using a net asset approach whereby it estimated the fair value of the assets and liabilities attributable to each of the reporting units. Under this approach, the fair value of each asset and liability within Windtec and PSNA were determined based on the methodology the Company believes is most appropriate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for each asset and liability. Significant estimates and judgments were involved in this assessment. Those estimates and judgments include the use of valuation methods for determining the fair value of the intangible assets assigned to each of the reporting units and the applicable assumptions included in those valuation methods such as financial projections, discount rates, royalty rates, tax rates and other related assumptions. Other significant estimates and judgments include the assumptions utilized to arrive at the market values of the fixed assets assigned to these reporting units and the realizability of other assets assigned to the reporting units.</w:t>
      </w:r>
    </w:p>
    <w:p>
      <w:pPr>
        <w:spacing w:after="0" w:line="7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Company performed its annual assessment of goodwill of the Windtec and PSNA reporting units on March 31, 2011. The Company’s annual assessment date corresponded with a triggering event caused by the refusal by Sinovel to accept scheduled shipments from the Company on March 31, 2011. As a result of reductions in its internal revenue and operating forecasts related to Sinovel and certain of its other customers in China, the Company determined that the goodwill related to both the Windtec and PSNA reporting units were fully impaired. Accordingly, the Company recorded impairment charges of $42.1 million and $6.9 million for the Windtec and PSNA reporting units, respectively during the fourth quarter of fiscal 2010.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Long-Lived Assets</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The Company periodically evaluates its long-lived assets consisting principally of fixed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asset groups involves a significant amount of judgment, assumptions, and estimates. The Company has three asset groups, PSNA, Windtec and Superconductor based on the fact that the individual subsidiary companies that support each reporting unit are dependent on one another such that the lowest level of largely independent cash flows is the reporting unit level. The Company evaluates its long-lived assets whenever events or circumstances suggest that the carrying amount of an asset or group of assets may not be recoverable from the estimated undiscounted future cash flows.</w:t>
      </w:r>
    </w:p>
    <w:p>
      <w:pPr>
        <w:spacing w:after="0" w:line="59"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In the fourth quarter of fiscal 2010, as a result of reductions in the Company’s revenue and cash flow forecasts related to Sinovel and certain of its other customers in China as well as potential goodwill impairment, the Company concluded that there were indicators of potential impairment of certain long-lived assets. As a result, the Company conducted an assessment of the recoverability of these assets. Recoverability of these assets is measured by comparison of the carrying value of the assets to the undiscounted cash flows estimated to be generated by those assets over their remaining book useful lives. Based on the initial impairment testing, which indicated that the assets were not recoverable, there was an indication that the Company’s Windtec asset group and its corporate long-lived assets were impaired and, as a result, the Company performed additional analysis. An evaluation of the level of impairment, was made with respect to the Windtec asset group and the corporate long-lived assets by comparing the fair value of the long-lived assets in the Windtec asset group against their carrying value and by comparing the fair value of all of the Company’s long-lived assets against their carrying value.</w:t>
      </w:r>
    </w:p>
    <w:p>
      <w:pPr>
        <w:spacing w:after="0" w:line="58"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fair values of the Company’s property and equipment were based on what it could reasonably expect to sell each asset for in an orderly liquidation setting. The determination of the fair values of the Company’s property and equipment includes estimates and judgments regarding the marketability and ultimate sales price of individual assets. The Company utilized market data and approximations from comparable analyses to arrive at the estimated fair values of its property and equipment. The fair values of amortizable intangible assets related to completed technology and trade names were determined using the relief-from-royalty method over the estimated economic lives of those assets from the perspective of a market participant. The fair values of amortizable intangible assets related to customer relationships and backlog were determined using the excess earnings method over the estimated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economic lives of those assets from the perspective of a market participant. The determination of the fair values of the Company’s amortizable intangible assets involves significant judgments, assumptions, and estimates, including projections of future cash flows, the percentage of future revenues and cash flows attributable to the intangible assets and asset lives used to generate future cash flows. The Company used a revised five year plan based on the assumption that Sinovel will not be a customer. Future cash flows are based upon revenue growth rate assumptions consistent with industry expectations for the markets that its asset groups operate in.</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As a result of the Company’s evaluation of the recoverability of its long-lived assets and amortizable intangible assets during the fourth quarter of fiscal 2010, the Company determined that certain of its property, plant and equipment and intangible assets in its Windtec asset group were impaired as their carrying value exceeded their fair value. Accordingly, the Company recorded an impairment charge of $1.0 million during the fourth quarter of fiscal 2010 of which $0.6 million related to its property and equipment and $0.4 million related to its customer-related intangibles. Further, the Company determined through this analysis that its corporate long-lived assets were not impaired as the fair values of all of its long-lived assets exceeded their carrying values.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Accounting</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Acquisitions completed prior to April 1, 2009 were accounted for using the purchase method per GAAP. Acquisitions completed subsequent to April 1, 2009 will be accounted for under the acquisition method. Under the purchase method, contingent consideration is recorded as goodwill only in the period in which the consideration is earned. Under the acquisition method we are required to estimate the fair value of contingent consideration as an assumed liability on the acquisition date by estimating the amount of the consideration and probability of the contingencies being met. This estimate is recorded as goodwill on the acquisition date and its value is assessed at each reporting date. Any subsequent change to the estimated fair value is reflected in earnings and not in goodwill. Under the purchase method we were able to record transaction costs related to the completion of the acquisition as goodwill. Under the acquisition method we are required to expense these costs as they are incurred. The Company has not completed an acquisition subsequent to April 1,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96"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color w:val="auto"/>
        </w:rPr>
        <w:t>The Company uses the equity method of accounting for investments in entities in which it has an ownership interest in which it does not exercise a controlling interest in the operating and financial policies of an investee. Under this method, an investment is carried at the acquisition cost, plus the Company’s equity in undistributed earnings or losses since acquisition.</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recognizes revenue for product sales upon customer acceptance, which can occur at the time of delivery, installation or post-installation, provided persuasive evidence of an arrangement exists, delivery has occurred, the sales price is fixed or determinable and the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During fiscal 2010, the Company determined that revenues from certain of its customers in China during the second and third quarters were incorrectly recorded as the fee was not fixed or determinable or collectability was not reasonably assured at the time of shipment. For these customers, the Company has restated revenues based on a cash basis of accounting with cash applied first against accounts receivable balances, as in the case of Sinovel as of September 30, 2010, then costs of shipments (inventory and value added taxes) before recognizing any gross margin. The Company had previously recognized revenues in the quarters ended September 30, 2010 and December 31, 2010 based on the receipt of shipments by these customers but prior to its receipt of payment for such shipments.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Percentage-of-completion revenue recognition accounting is predominantly used on long-term prototype development contracts with the U.S. government and certain commercial turnkey contracts.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completed-contract method.</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Certain of the Company’s contracts involve retention amounts which are contingent upon meeting certain performance requirements through the expiration of the contract warranty periods. For contractual arrangements that involve retention, the Company recognizes revenue for these amounts when upon the expiration of the warranty period, meeting the performance requirements and when collection of the fee is reasonably assured.</w:t>
      </w:r>
    </w:p>
    <w:p>
      <w:pPr>
        <w:spacing w:after="0" w:line="67"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When our estimates are used to determine fair value, management makes its estimates using reasonable and objective evidence to determine the price.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 We adopted this new accounting standard on April 1, 2010 using the prospective method, and the adoption did not have a material impact on our consolidated financial statements.</w:t>
      </w:r>
    </w:p>
    <w:p>
      <w:pPr>
        <w:spacing w:after="0" w:line="7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occasionally enters into construction contracts that include a performance bond.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enters into certain arrangements to license its technologies and to provide training services. The Company has determined that the license has no stand alone value to the customer and is not separable from the training. Accordingly, the Company accounts for these arrangements as a single unit of accounting, following the revenue recognition pattern of the last deliverable of the arrangement and recognizes revenue over the period of the Company’s performance and milestones that have been achieved. Costs for these arrangements are expensed as incurred.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elected to record taxes collected from customers on a net basis and does not include tax amounts in revenue or costs of revenue.</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Warranty</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Warranty obligations are incurred in connection with the sale of the Company’s products. The Company generally provides a one to three year warranty on its products, commencing upon installation. The costs incurred to provide for these warranty obligations are estimated and recorded as an accrued liability at the time of sale. Future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320" w:lineRule="auto"/>
        <w:rPr>
          <w:sz w:val="20"/>
          <w:szCs w:val="20"/>
          <w:color w:val="auto"/>
        </w:rPr>
      </w:pPr>
      <w:r>
        <w:rPr>
          <w:rFonts w:ascii="Arial" w:cs="Arial" w:eastAsia="Arial" w:hAnsi="Arial"/>
          <w:sz w:val="12"/>
          <w:szCs w:val="12"/>
          <w:color w:val="auto"/>
        </w:rPr>
        <w:t>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costs are expensed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deferred income tax assets since the Company believes that it is more likely than not that these deferred tax assets are not currently realizable due to the net operating losses incurred by the Company since its inception and uncertainty around profitability in the future.</w:t>
      </w:r>
    </w:p>
    <w:p>
      <w:pPr>
        <w:spacing w:after="0" w:line="71"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accounts for stock-based payment transactions using a fair value-based method and recognizes the related expense in the results of operations.</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The Company uses the lattice model to value market condition awards. For awards with market conditions with a single cliff vest feature, the Company recognizes compensation costs on a straight-line basis over the requisite service period. For awards with performance condition, accruals of compensation cost are made based on the probable outcome of the performance conditions. The cumulative effect of changes in the probability outcomes are recorded in the period in which the changes occur.</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Determining the appropriate fair value model and related assumptions requires judgment, including estimating stock price volatilities of the Company’s common stock and expected terms. The expected volatility rates are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59"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Computation of Net (Loss) Income per Common Share</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Basic net (loss) income per share (“EPS”) is computed by dividing net (loss) income by the weighted-average number of common shares outstanding for the period.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2011, 2010, and 2009, common equivalent shares of 2,631,251, 688,300, and 3,316,629, respectively, were not included in the calculation of diluted EPS as they were considered antidilutive. The following table reconciles the numerators and denominators of the EPS calculation for the fiscal years ended March 31, 2011, 2010, and 2009 (in thousands except per share amounts):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(loss) income</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(186,284)</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16,248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(16,635)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Weighted-average shares of common stock outstanding</w:t>
            </w:r>
          </w:p>
        </w:tc>
        <w:tc>
          <w:tcPr>
            <w:tcW w:w="2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47,750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44,493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43,323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shares subject to repurchase</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Shares used in per-share calculation — basic</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47,103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44,445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42,718</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 effect of employee equity incentive plans</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Shares used in per-share calculation — diluted</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47,103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45,290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42,718</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(loss) income per share — basic</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Net (loss) income per share — diluted</w:t>
            </w: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(3.95)</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0.36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The functional currency of all the Company’s foreign subsidiaries is the U.S. dollar, except for AMSC Windtec, for which the local currency (Euro) is the functional currency, and AMSC China, for which the local currency (Renminbi) is the functional currency. The assets and liabilities of AMSC Windtec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 Net foreign currency transaction and hedging gains (losses), are included in net (loss) income and were $8.0 million, ($2.5) million and ($1.1) million for the fiscal years ended March 31, 2011, 2010 and 2009 respectively. The Company has no restrictions on the foreign exchange activities of its foreign subsidiaries, including the payment of dividends and other distributions.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invests its available cash with high-credit, quality financial instruments and invests primarily in investment grade-marketable securities, including, but not limited to, government obligations, money market funds and corporate debt instruments.</w:t>
      </w:r>
    </w:p>
    <w:p>
      <w:pPr>
        <w:spacing w:after="0" w:line="59"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fiscal year ending March 31, 2012 and beyond as incremental funding is authorized and appropriated by the government.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jc w:val="both"/>
        <w:ind w:left="680" w:right="800" w:firstLine="399"/>
        <w:spacing w:after="0" w:line="282" w:lineRule="auto"/>
        <w:rPr>
          <w:sz w:val="20"/>
          <w:szCs w:val="20"/>
          <w:color w:val="auto"/>
        </w:rPr>
      </w:pPr>
      <w:r>
        <w:rPr>
          <w:rFonts w:ascii="Arial" w:cs="Arial" w:eastAsia="Arial" w:hAnsi="Arial"/>
          <w:sz w:val="12"/>
          <w:szCs w:val="12"/>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shall be disclosed unless such an estimate cannot be made. The Company does not recognize gain contingencies until they are realized. Legal costs incurred in connection with loss contingencies are expensed as incurred. (See Note 12, “Commitments and Contingencies,” for further information regarding the Company’s pending litigation.)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Disclosure of Fair Value of Financial Instruments</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Company’s financial instruments consist principally of cash and cash equivalents, marketable securities, accounts receivable, accounts payable and accrued expenses. The carrying amounts of these instruments approximate fair value.</w:t>
      </w:r>
    </w:p>
    <w:p>
      <w:pPr>
        <w:spacing w:after="0" w:line="134"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 and Fair Value Disclosures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Company’s marketable securities are classified as available-for-sale securities and, accordingly, are recorded at fair value. The difference between amortized cost and fair value is included in stockholders’ equity. At March 31, 2011 and 2010, respectively, there were investments with an immaterial gross unrealized loss.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marketable securities at March 31, 2011 and 2010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156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Cost at</w:t>
            </w:r>
          </w:p>
        </w:tc>
        <w:tc>
          <w:tcPr>
            <w:tcW w:w="2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rPr>
              <w:t>Fair Market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6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8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Value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March 31, 2011</w:t>
            </w:r>
          </w:p>
        </w:tc>
        <w:tc>
          <w:tcPr>
            <w:tcW w:w="26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26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Losses</w:t>
            </w:r>
          </w:p>
        </w:tc>
        <w:tc>
          <w:tcPr>
            <w:tcW w:w="28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March 31, 2011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180" w:type="dxa"/>
            <w:vAlign w:val="bottom"/>
          </w:tcPr>
          <w:p>
            <w:pPr>
              <w:ind w:left="680"/>
              <w:spacing w:after="0"/>
              <w:rPr>
                <w:sz w:val="20"/>
                <w:szCs w:val="20"/>
                <w:color w:val="auto"/>
              </w:rPr>
            </w:pPr>
            <w:r>
              <w:rPr>
                <w:rFonts w:ascii="Arial" w:cs="Arial" w:eastAsia="Arial" w:hAnsi="Arial"/>
                <w:sz w:val="13"/>
                <w:szCs w:val="13"/>
                <w:color w:val="auto"/>
              </w:rPr>
              <w:t>Short-term government-backed securities</w:t>
            </w:r>
          </w:p>
        </w:tc>
        <w:tc>
          <w:tcPr>
            <w:tcW w:w="1560" w:type="dxa"/>
            <w:vAlign w:val="bottom"/>
          </w:tcPr>
          <w:p>
            <w:pPr>
              <w:jc w:val="right"/>
              <w:ind w:right="500"/>
              <w:spacing w:after="0"/>
              <w:rPr>
                <w:sz w:val="20"/>
                <w:szCs w:val="20"/>
                <w:color w:val="auto"/>
              </w:rPr>
            </w:pPr>
            <w:r>
              <w:rPr>
                <w:rFonts w:ascii="Arial" w:cs="Arial" w:eastAsia="Arial" w:hAnsi="Arial"/>
                <w:sz w:val="13"/>
                <w:szCs w:val="13"/>
                <w:color w:val="auto"/>
              </w:rPr>
              <w:t>$ 76,368</w:t>
            </w:r>
          </w:p>
        </w:tc>
        <w:tc>
          <w:tcPr>
            <w:tcW w:w="1020" w:type="dxa"/>
            <w:vAlign w:val="bottom"/>
            <w:gridSpan w:val="2"/>
          </w:tcPr>
          <w:p>
            <w:pPr>
              <w:jc w:val="right"/>
              <w:ind w:right="228"/>
              <w:spacing w:after="0"/>
              <w:rPr>
                <w:sz w:val="20"/>
                <w:szCs w:val="20"/>
                <w:color w:val="auto"/>
              </w:rPr>
            </w:pPr>
            <w:r>
              <w:rPr>
                <w:rFonts w:ascii="Arial" w:cs="Arial" w:eastAsia="Arial" w:hAnsi="Arial"/>
                <w:sz w:val="13"/>
                <w:szCs w:val="13"/>
                <w:color w:val="auto"/>
              </w:rPr>
              <w:t>$ 21</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 (18)</w:t>
            </w:r>
          </w:p>
        </w:tc>
        <w:tc>
          <w:tcPr>
            <w:tcW w:w="1820" w:type="dxa"/>
            <w:vAlign w:val="bottom"/>
            <w:gridSpan w:val="2"/>
          </w:tcPr>
          <w:p>
            <w:pPr>
              <w:jc w:val="right"/>
              <w:ind w:right="508"/>
              <w:spacing w:after="0"/>
              <w:rPr>
                <w:sz w:val="20"/>
                <w:szCs w:val="20"/>
                <w:color w:val="auto"/>
              </w:rPr>
            </w:pPr>
            <w:r>
              <w:rPr>
                <w:rFonts w:ascii="Arial" w:cs="Arial" w:eastAsia="Arial" w:hAnsi="Arial"/>
                <w:sz w:val="13"/>
                <w:szCs w:val="13"/>
                <w:color w:val="auto"/>
              </w:rPr>
              <w:t>$ 76,371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180" w:type="dxa"/>
            <w:vAlign w:val="bottom"/>
          </w:tcPr>
          <w:p>
            <w:pPr>
              <w:ind w:left="680"/>
              <w:spacing w:after="0"/>
              <w:rPr>
                <w:sz w:val="20"/>
                <w:szCs w:val="20"/>
                <w:color w:val="auto"/>
              </w:rPr>
            </w:pPr>
            <w:r>
              <w:rPr>
                <w:rFonts w:ascii="Arial" w:cs="Arial" w:eastAsia="Arial" w:hAnsi="Arial"/>
                <w:sz w:val="13"/>
                <w:szCs w:val="13"/>
                <w:color w:val="auto"/>
              </w:rPr>
              <w:t>Short-term commercial paper</w:t>
            </w:r>
          </w:p>
        </w:tc>
        <w:tc>
          <w:tcPr>
            <w:tcW w:w="1560" w:type="dxa"/>
            <w:vAlign w:val="bottom"/>
          </w:tcPr>
          <w:p>
            <w:pPr>
              <w:jc w:val="right"/>
              <w:ind w:right="500"/>
              <w:spacing w:after="0"/>
              <w:rPr>
                <w:sz w:val="20"/>
                <w:szCs w:val="20"/>
                <w:color w:val="auto"/>
              </w:rPr>
            </w:pPr>
            <w:r>
              <w:rPr>
                <w:rFonts w:ascii="Arial" w:cs="Arial" w:eastAsia="Arial" w:hAnsi="Arial"/>
                <w:sz w:val="13"/>
                <w:szCs w:val="13"/>
                <w:color w:val="auto"/>
              </w:rPr>
              <w:t>39,728</w:t>
            </w:r>
          </w:p>
        </w:tc>
        <w:tc>
          <w:tcPr>
            <w:tcW w:w="1020" w:type="dxa"/>
            <w:vAlign w:val="bottom"/>
            <w:gridSpan w:val="2"/>
          </w:tcPr>
          <w:p>
            <w:pPr>
              <w:jc w:val="right"/>
              <w:ind w:right="228"/>
              <w:spacing w:after="0"/>
              <w:rPr>
                <w:sz w:val="20"/>
                <w:szCs w:val="20"/>
                <w:color w:val="auto"/>
              </w:rPr>
            </w:pPr>
            <w:r>
              <w:rPr>
                <w:rFonts w:ascii="Arial" w:cs="Arial" w:eastAsia="Arial" w:hAnsi="Arial"/>
                <w:sz w:val="13"/>
                <w:szCs w:val="13"/>
                <w:color w:val="auto"/>
              </w:rPr>
              <w:t>45</w:t>
            </w:r>
          </w:p>
        </w:tc>
        <w:tc>
          <w:tcPr>
            <w:tcW w:w="1080" w:type="dxa"/>
            <w:vAlign w:val="bottom"/>
            <w:gridSpan w:val="2"/>
          </w:tcPr>
          <w:p>
            <w:pPr>
              <w:jc w:val="right"/>
              <w:ind w:right="188"/>
              <w:spacing w:after="0"/>
              <w:rPr>
                <w:sz w:val="20"/>
                <w:szCs w:val="20"/>
                <w:color w:val="auto"/>
              </w:rPr>
            </w:pPr>
            <w:r>
              <w:rPr>
                <w:rFonts w:ascii="Arial" w:cs="Arial" w:eastAsia="Arial" w:hAnsi="Arial"/>
                <w:sz w:val="13"/>
                <w:szCs w:val="13"/>
                <w:color w:val="auto"/>
              </w:rPr>
              <w:t>(18)</w:t>
            </w:r>
          </w:p>
        </w:tc>
        <w:tc>
          <w:tcPr>
            <w:tcW w:w="1820" w:type="dxa"/>
            <w:vAlign w:val="bottom"/>
            <w:gridSpan w:val="2"/>
          </w:tcPr>
          <w:p>
            <w:pPr>
              <w:jc w:val="right"/>
              <w:ind w:right="508"/>
              <w:spacing w:after="0"/>
              <w:rPr>
                <w:sz w:val="20"/>
                <w:szCs w:val="20"/>
                <w:color w:val="auto"/>
              </w:rPr>
            </w:pPr>
            <w:r>
              <w:rPr>
                <w:rFonts w:ascii="Arial" w:cs="Arial" w:eastAsia="Arial" w:hAnsi="Arial"/>
                <w:sz w:val="13"/>
                <w:szCs w:val="13"/>
                <w:color w:val="auto"/>
              </w:rPr>
              <w:t>39,755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5180" w:type="dxa"/>
            <w:vAlign w:val="bottom"/>
          </w:tcPr>
          <w:p>
            <w:pPr>
              <w:spacing w:after="0"/>
              <w:rPr>
                <w:sz w:val="24"/>
                <w:szCs w:val="24"/>
                <w:color w:val="auto"/>
              </w:rPr>
            </w:pPr>
          </w:p>
        </w:tc>
        <w:tc>
          <w:tcPr>
            <w:tcW w:w="1560" w:type="dxa"/>
            <w:vAlign w:val="bottom"/>
          </w:tcPr>
          <w:p>
            <w:pPr>
              <w:ind w:left="440"/>
              <w:spacing w:after="0"/>
              <w:rPr>
                <w:sz w:val="20"/>
                <w:szCs w:val="20"/>
                <w:color w:val="auto"/>
              </w:rPr>
            </w:pPr>
            <w:r>
              <w:rPr>
                <w:rFonts w:ascii="Arial" w:cs="Arial" w:eastAsia="Arial" w:hAnsi="Arial"/>
                <w:sz w:val="13"/>
                <w:szCs w:val="13"/>
                <w:color w:val="auto"/>
              </w:rPr>
              <w:t>77</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8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540" w:type="dxa"/>
            <w:vAlign w:val="bottom"/>
            <w:vMerge w:val="restart"/>
          </w:tcPr>
          <w:p>
            <w:pPr>
              <w:jc w:val="right"/>
              <w:ind w:right="541"/>
              <w:spacing w:after="0"/>
              <w:rPr>
                <w:sz w:val="20"/>
                <w:szCs w:val="20"/>
                <w:color w:val="auto"/>
              </w:rPr>
            </w:pPr>
            <w:r>
              <w:rPr>
                <w:rFonts w:ascii="Arial" w:cs="Arial" w:eastAsia="Arial" w:hAnsi="Arial"/>
                <w:sz w:val="10"/>
                <w:szCs w:val="10"/>
                <w:b w:val="1"/>
                <w:bCs w:val="1"/>
                <w:color w:val="auto"/>
              </w:rPr>
              <w:t>Cost at</w:t>
            </w:r>
          </w:p>
        </w:tc>
        <w:tc>
          <w:tcPr>
            <w:tcW w:w="2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rPr>
              <w:t>Fair Market</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Unrealized</w:t>
            </w:r>
          </w:p>
        </w:tc>
        <w:tc>
          <w:tcPr>
            <w:tcW w:w="26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8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Value at</w:t>
            </w: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March 31, 2010</w:t>
            </w:r>
          </w:p>
        </w:tc>
        <w:tc>
          <w:tcPr>
            <w:tcW w:w="26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26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Losses</w:t>
            </w:r>
          </w:p>
        </w:tc>
        <w:tc>
          <w:tcPr>
            <w:tcW w:w="28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March 31, 2010</w:t>
            </w:r>
          </w:p>
        </w:tc>
        <w:tc>
          <w:tcPr>
            <w:tcW w:w="0" w:type="dxa"/>
            <w:vAlign w:val="bottom"/>
          </w:tcPr>
          <w:p>
            <w:pPr>
              <w:spacing w:after="0"/>
              <w:rPr>
                <w:sz w:val="1"/>
                <w:szCs w:val="1"/>
                <w:color w:val="auto"/>
              </w:rPr>
            </w:pPr>
          </w:p>
        </w:tc>
      </w:tr>
      <w:tr>
        <w:trPr>
          <w:trHeight w:val="178"/>
        </w:trPr>
        <w:tc>
          <w:tcPr>
            <w:tcW w:w="4480" w:type="dxa"/>
            <w:vAlign w:val="bottom"/>
          </w:tcPr>
          <w:p>
            <w:pPr>
              <w:spacing w:after="0"/>
              <w:rPr>
                <w:sz w:val="20"/>
                <w:szCs w:val="20"/>
                <w:color w:val="auto"/>
              </w:rPr>
            </w:pPr>
            <w:r>
              <w:rPr>
                <w:rFonts w:ascii="Arial" w:cs="Arial" w:eastAsia="Arial" w:hAnsi="Arial"/>
                <w:sz w:val="13"/>
                <w:szCs w:val="13"/>
                <w:color w:val="auto"/>
              </w:rPr>
              <w:t>Short-term government-backed securities</w:t>
            </w:r>
          </w:p>
        </w:tc>
        <w:tc>
          <w:tcPr>
            <w:tcW w:w="1540" w:type="dxa"/>
            <w:vAlign w:val="bottom"/>
          </w:tcPr>
          <w:p>
            <w:pPr>
              <w:jc w:val="right"/>
              <w:ind w:right="501"/>
              <w:spacing w:after="0"/>
              <w:rPr>
                <w:sz w:val="20"/>
                <w:szCs w:val="20"/>
                <w:color w:val="auto"/>
              </w:rPr>
            </w:pPr>
            <w:r>
              <w:rPr>
                <w:rFonts w:ascii="Arial" w:cs="Arial" w:eastAsia="Arial" w:hAnsi="Arial"/>
                <w:sz w:val="13"/>
                <w:szCs w:val="13"/>
                <w:color w:val="auto"/>
              </w:rPr>
              <w:t>$ 54,438</w:t>
            </w:r>
          </w:p>
        </w:tc>
        <w:tc>
          <w:tcPr>
            <w:tcW w:w="1040" w:type="dxa"/>
            <w:vAlign w:val="bottom"/>
            <w:gridSpan w:val="2"/>
          </w:tcPr>
          <w:p>
            <w:pPr>
              <w:jc w:val="right"/>
              <w:ind w:right="228"/>
              <w:spacing w:after="0"/>
              <w:rPr>
                <w:sz w:val="20"/>
                <w:szCs w:val="20"/>
                <w:color w:val="auto"/>
              </w:rPr>
            </w:pPr>
            <w:r>
              <w:rPr>
                <w:rFonts w:ascii="Arial" w:cs="Arial" w:eastAsia="Arial" w:hAnsi="Arial"/>
                <w:sz w:val="13"/>
                <w:szCs w:val="13"/>
                <w:color w:val="auto"/>
              </w:rPr>
              <w:t>$ 35</w:t>
            </w:r>
          </w:p>
        </w:tc>
        <w:tc>
          <w:tcPr>
            <w:tcW w:w="1100" w:type="dxa"/>
            <w:vAlign w:val="bottom"/>
            <w:gridSpan w:val="2"/>
          </w:tcPr>
          <w:p>
            <w:pPr>
              <w:jc w:val="right"/>
              <w:ind w:right="184"/>
              <w:spacing w:after="0"/>
              <w:rPr>
                <w:sz w:val="20"/>
                <w:szCs w:val="20"/>
                <w:color w:val="auto"/>
              </w:rPr>
            </w:pPr>
            <w:r>
              <w:rPr>
                <w:rFonts w:ascii="Arial" w:cs="Arial" w:eastAsia="Arial" w:hAnsi="Arial"/>
                <w:sz w:val="13"/>
                <w:szCs w:val="13"/>
                <w:color w:val="auto"/>
              </w:rPr>
              <w:t>$   (4)</w:t>
            </w:r>
          </w:p>
        </w:tc>
        <w:tc>
          <w:tcPr>
            <w:tcW w:w="1820" w:type="dxa"/>
            <w:vAlign w:val="bottom"/>
            <w:gridSpan w:val="2"/>
          </w:tcPr>
          <w:p>
            <w:pPr>
              <w:jc w:val="right"/>
              <w:ind w:right="508"/>
              <w:spacing w:after="0"/>
              <w:rPr>
                <w:sz w:val="20"/>
                <w:szCs w:val="20"/>
                <w:color w:val="auto"/>
              </w:rPr>
            </w:pPr>
            <w:r>
              <w:rPr>
                <w:rFonts w:ascii="Arial" w:cs="Arial" w:eastAsia="Arial" w:hAnsi="Arial"/>
                <w:sz w:val="13"/>
                <w:szCs w:val="13"/>
                <w:color w:val="auto"/>
              </w:rPr>
              <w:t>$ 54,469</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20"/>
                <w:szCs w:val="20"/>
                <w:color w:val="auto"/>
              </w:rPr>
            </w:pPr>
            <w:r>
              <w:rPr>
                <w:rFonts w:ascii="Arial" w:cs="Arial" w:eastAsia="Arial" w:hAnsi="Arial"/>
                <w:sz w:val="13"/>
                <w:szCs w:val="13"/>
                <w:color w:val="auto"/>
              </w:rPr>
              <w:t>Long-term government-backed securities</w:t>
            </w:r>
          </w:p>
        </w:tc>
        <w:tc>
          <w:tcPr>
            <w:tcW w:w="1540" w:type="dxa"/>
            <w:vAlign w:val="bottom"/>
          </w:tcPr>
          <w:p>
            <w:pPr>
              <w:jc w:val="right"/>
              <w:ind w:right="501"/>
              <w:spacing w:after="0"/>
              <w:rPr>
                <w:sz w:val="20"/>
                <w:szCs w:val="20"/>
                <w:color w:val="auto"/>
              </w:rPr>
            </w:pPr>
            <w:r>
              <w:rPr>
                <w:rFonts w:ascii="Arial" w:cs="Arial" w:eastAsia="Arial" w:hAnsi="Arial"/>
                <w:sz w:val="13"/>
                <w:szCs w:val="13"/>
                <w:color w:val="auto"/>
              </w:rPr>
              <w:t>7,267</w:t>
            </w:r>
          </w:p>
        </w:tc>
        <w:tc>
          <w:tcPr>
            <w:tcW w:w="1040" w:type="dxa"/>
            <w:vAlign w:val="bottom"/>
            <w:gridSpan w:val="2"/>
          </w:tcPr>
          <w:p>
            <w:pPr>
              <w:jc w:val="right"/>
              <w:ind w:right="228"/>
              <w:spacing w:after="0"/>
              <w:rPr>
                <w:sz w:val="20"/>
                <w:szCs w:val="20"/>
                <w:color w:val="auto"/>
              </w:rPr>
            </w:pPr>
            <w:r>
              <w:rPr>
                <w:rFonts w:ascii="Arial" w:cs="Arial" w:eastAsia="Arial" w:hAnsi="Arial"/>
                <w:sz w:val="13"/>
                <w:szCs w:val="13"/>
                <w:color w:val="auto"/>
              </w:rPr>
              <w:t>75</w:t>
            </w:r>
          </w:p>
        </w:tc>
        <w:tc>
          <w:tcPr>
            <w:tcW w:w="260" w:type="dxa"/>
            <w:vAlign w:val="bottom"/>
          </w:tcPr>
          <w:p>
            <w:pPr>
              <w:spacing w:after="0"/>
              <w:rPr>
                <w:sz w:val="14"/>
                <w:szCs w:val="14"/>
                <w:color w:val="auto"/>
              </w:rPr>
            </w:pPr>
          </w:p>
        </w:tc>
        <w:tc>
          <w:tcPr>
            <w:tcW w:w="840" w:type="dxa"/>
            <w:vAlign w:val="bottom"/>
          </w:tcPr>
          <w:p>
            <w:pPr>
              <w:jc w:val="right"/>
              <w:ind w:right="224"/>
              <w:spacing w:after="0"/>
              <w:rPr>
                <w:sz w:val="20"/>
                <w:szCs w:val="20"/>
                <w:color w:val="auto"/>
              </w:rPr>
            </w:pPr>
            <w:r>
              <w:rPr>
                <w:rFonts w:ascii="Arial" w:cs="Arial" w:eastAsia="Arial" w:hAnsi="Arial"/>
                <w:sz w:val="13"/>
                <w:szCs w:val="13"/>
                <w:color w:val="auto"/>
              </w:rPr>
              <w:t>—</w:t>
            </w:r>
          </w:p>
        </w:tc>
        <w:tc>
          <w:tcPr>
            <w:tcW w:w="1820" w:type="dxa"/>
            <w:vAlign w:val="bottom"/>
            <w:gridSpan w:val="2"/>
          </w:tcPr>
          <w:p>
            <w:pPr>
              <w:jc w:val="right"/>
              <w:ind w:right="508"/>
              <w:spacing w:after="0"/>
              <w:rPr>
                <w:sz w:val="20"/>
                <w:szCs w:val="20"/>
                <w:color w:val="auto"/>
              </w:rPr>
            </w:pPr>
            <w:r>
              <w:rPr>
                <w:rFonts w:ascii="Arial" w:cs="Arial" w:eastAsia="Arial" w:hAnsi="Arial"/>
                <w:sz w:val="13"/>
                <w:szCs w:val="13"/>
                <w:color w:val="auto"/>
              </w:rPr>
              <w:t>7,342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Hierarchy</w:t>
      </w:r>
    </w:p>
    <w:p>
      <w:pPr>
        <w:spacing w:after="0" w:line="96" w:lineRule="exact"/>
        <w:rPr>
          <w:sz w:val="20"/>
          <w:szCs w:val="20"/>
          <w:color w:val="auto"/>
        </w:rPr>
      </w:pPr>
    </w:p>
    <w:p>
      <w:pPr>
        <w:jc w:val="both"/>
        <w:ind w:left="680" w:right="800" w:firstLine="399"/>
        <w:spacing w:after="0" w:line="257" w:lineRule="auto"/>
        <w:rPr>
          <w:sz w:val="20"/>
          <w:szCs w:val="20"/>
          <w:color w:val="auto"/>
        </w:rPr>
      </w:pPr>
      <w:r>
        <w:rPr>
          <w:rFonts w:ascii="Arial" w:cs="Arial" w:eastAsia="Arial" w:hAnsi="Arial"/>
          <w:sz w:val="13"/>
          <w:szCs w:val="13"/>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fiscal 2010.</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valuation hierarchy for disclosure of the inputs to valuation used to measure fair value has been established. This hierarchy prioritizes the inputs into three broad levels as follows:</w:t>
      </w:r>
    </w:p>
    <w:p>
      <w:pPr>
        <w:spacing w:after="0" w:line="92" w:lineRule="exact"/>
        <w:rPr>
          <w:sz w:val="20"/>
          <w:szCs w:val="20"/>
          <w:color w:val="auto"/>
        </w:rPr>
      </w:pPr>
    </w:p>
    <w:p>
      <w:pPr>
        <w:ind w:left="1500"/>
        <w:spacing w:after="0"/>
        <w:tabs>
          <w:tab w:leader="none" w:pos="2460" w:val="left"/>
        </w:tabs>
        <w:rPr>
          <w:sz w:val="20"/>
          <w:szCs w:val="20"/>
          <w:color w:val="auto"/>
        </w:rPr>
      </w:pPr>
      <w:r>
        <w:rPr>
          <w:rFonts w:ascii="Arial" w:cs="Arial" w:eastAsia="Arial" w:hAnsi="Arial"/>
          <w:sz w:val="13"/>
          <w:szCs w:val="13"/>
          <w:b w:val="1"/>
          <w:bCs w:val="1"/>
          <w:color w:val="auto"/>
        </w:rPr>
        <w:t>Level 1 —</w:t>
      </w:r>
      <w:r>
        <w:rPr>
          <w:sz w:val="20"/>
          <w:szCs w:val="20"/>
          <w:color w:val="auto"/>
        </w:rPr>
        <w:tab/>
      </w:r>
      <w:r>
        <w:rPr>
          <w:rFonts w:ascii="Arial" w:cs="Arial" w:eastAsia="Arial" w:hAnsi="Arial"/>
          <w:sz w:val="11"/>
          <w:szCs w:val="11"/>
          <w:color w:val="auto"/>
        </w:rPr>
        <w:t>Inputs are unadjusted quoted prices in active markets for identical assets or liabilities that the Company has the ability to access at the measurement date.</w:t>
      </w:r>
    </w:p>
    <w:p>
      <w:pPr>
        <w:spacing w:after="0" w:line="86" w:lineRule="exact"/>
        <w:rPr>
          <w:sz w:val="20"/>
          <w:szCs w:val="20"/>
          <w:color w:val="auto"/>
        </w:rPr>
      </w:pPr>
    </w:p>
    <w:p>
      <w:pPr>
        <w:jc w:val="both"/>
        <w:ind w:left="2480" w:right="800" w:hanging="992"/>
        <w:spacing w:after="0" w:line="264" w:lineRule="auto"/>
        <w:tabs>
          <w:tab w:leader="none" w:pos="2460" w:val="left"/>
        </w:tabs>
        <w:rPr>
          <w:sz w:val="20"/>
          <w:szCs w:val="20"/>
          <w:color w:val="auto"/>
        </w:rPr>
      </w:pPr>
      <w:r>
        <w:rPr>
          <w:rFonts w:ascii="Arial" w:cs="Arial" w:eastAsia="Arial" w:hAnsi="Arial"/>
          <w:sz w:val="13"/>
          <w:szCs w:val="13"/>
          <w:b w:val="1"/>
          <w:bCs w:val="1"/>
          <w:color w:val="auto"/>
        </w:rPr>
        <w:t>Level 2 —</w:t>
      </w:r>
      <w:r>
        <w:rPr>
          <w:sz w:val="20"/>
          <w:szCs w:val="20"/>
          <w:color w:val="auto"/>
        </w:rPr>
        <w:tab/>
      </w:r>
      <w:r>
        <w:rPr>
          <w:rFonts w:ascii="Arial" w:cs="Arial" w:eastAsia="Arial" w:hAnsi="Arial"/>
          <w:sz w:val="13"/>
          <w:szCs w:val="13"/>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57" w:lineRule="exact"/>
        <w:rPr>
          <w:sz w:val="20"/>
          <w:szCs w:val="20"/>
          <w:color w:val="auto"/>
        </w:rPr>
      </w:pPr>
    </w:p>
    <w:p>
      <w:pPr>
        <w:jc w:val="both"/>
        <w:ind w:left="2480" w:right="800" w:hanging="992"/>
        <w:spacing w:after="0" w:line="276" w:lineRule="auto"/>
        <w:tabs>
          <w:tab w:leader="none" w:pos="2460" w:val="left"/>
        </w:tabs>
        <w:rPr>
          <w:sz w:val="20"/>
          <w:szCs w:val="20"/>
          <w:color w:val="auto"/>
        </w:rPr>
      </w:pPr>
      <w:r>
        <w:rPr>
          <w:rFonts w:ascii="Arial" w:cs="Arial" w:eastAsia="Arial" w:hAnsi="Arial"/>
          <w:sz w:val="13"/>
          <w:szCs w:val="13"/>
          <w:b w:val="1"/>
          <w:bCs w:val="1"/>
          <w:color w:val="auto"/>
        </w:rPr>
        <w:t>Level 3 —</w:t>
      </w:r>
      <w:r>
        <w:rPr>
          <w:sz w:val="20"/>
          <w:szCs w:val="20"/>
          <w:color w:val="auto"/>
        </w:rPr>
        <w:tab/>
      </w:r>
      <w:r>
        <w:rPr>
          <w:rFonts w:ascii="Arial" w:cs="Arial" w:eastAsia="Arial" w:hAnsi="Arial"/>
          <w:sz w:val="13"/>
          <w:szCs w:val="13"/>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financial asset’s or liability’s classification within the hierarchy is determined based on the lowest level input that is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the assets and liabilities carried at fair value, measured as of March 31, 2011 and 2010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Total</w:t>
            </w:r>
          </w:p>
        </w:tc>
        <w:tc>
          <w:tcPr>
            <w:tcW w:w="1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3"/>
              </w:rPr>
              <w:t>Quoted Prices in</w:t>
            </w:r>
          </w:p>
        </w:tc>
        <w:tc>
          <w:tcPr>
            <w:tcW w:w="20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Using Significant</w:t>
            </w:r>
          </w:p>
        </w:tc>
        <w:tc>
          <w:tcPr>
            <w:tcW w:w="1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92"/>
              </w:rPr>
              <w:t>Using Significant</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Carrying</w:t>
            </w:r>
          </w:p>
        </w:tc>
        <w:tc>
          <w:tcPr>
            <w:tcW w:w="18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200" w:type="dxa"/>
            <w:vAlign w:val="bottom"/>
          </w:tcPr>
          <w:p>
            <w:pPr>
              <w:spacing w:after="0"/>
              <w:rPr>
                <w:sz w:val="9"/>
                <w:szCs w:val="9"/>
                <w:color w:val="auto"/>
              </w:rPr>
            </w:pPr>
          </w:p>
        </w:tc>
        <w:tc>
          <w:tcPr>
            <w:tcW w:w="14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Other Observable</w:t>
            </w: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18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200" w:type="dxa"/>
            <w:vAlign w:val="bottom"/>
          </w:tcPr>
          <w:p>
            <w:pPr>
              <w:spacing w:after="0"/>
              <w:rPr>
                <w:sz w:val="10"/>
                <w:szCs w:val="1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Inputs (Level 2)</w:t>
            </w:r>
          </w:p>
        </w:tc>
        <w:tc>
          <w:tcPr>
            <w:tcW w:w="18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Inputs (Level 3)</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March 31, 2011:</w:t>
            </w: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Assets: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$49,837</w:t>
            </w:r>
          </w:p>
        </w:tc>
        <w:tc>
          <w:tcPr>
            <w:tcW w:w="1660" w:type="dxa"/>
            <w:vAlign w:val="bottom"/>
            <w:gridSpan w:val="2"/>
            <w:shd w:val="clear" w:color="auto" w:fill="CCEEFF"/>
          </w:tcPr>
          <w:p>
            <w:pPr>
              <w:jc w:val="right"/>
              <w:ind w:right="501"/>
              <w:spacing w:after="0"/>
              <w:rPr>
                <w:sz w:val="20"/>
                <w:szCs w:val="20"/>
                <w:color w:val="auto"/>
              </w:rPr>
            </w:pPr>
            <w:r>
              <w:rPr>
                <w:rFonts w:ascii="Arial" w:cs="Arial" w:eastAsia="Arial" w:hAnsi="Arial"/>
                <w:sz w:val="13"/>
                <w:szCs w:val="13"/>
                <w:color w:val="auto"/>
              </w:rPr>
              <w:t>$49,837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Short-term government-backed securities</w:t>
            </w: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76,371</w:t>
            </w:r>
          </w:p>
        </w:tc>
        <w:tc>
          <w:tcPr>
            <w:tcW w:w="180" w:type="dxa"/>
            <w:vAlign w:val="bottom"/>
          </w:tcPr>
          <w:p>
            <w:pPr>
              <w:spacing w:after="0"/>
              <w:rPr>
                <w:sz w:val="13"/>
                <w:szCs w:val="13"/>
                <w:color w:val="auto"/>
              </w:rPr>
            </w:pPr>
          </w:p>
        </w:tc>
        <w:tc>
          <w:tcPr>
            <w:tcW w:w="1480" w:type="dxa"/>
            <w:vAlign w:val="bottom"/>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ind w:right="494"/>
              <w:spacing w:after="0"/>
              <w:rPr>
                <w:sz w:val="20"/>
                <w:szCs w:val="20"/>
                <w:color w:val="auto"/>
              </w:rPr>
            </w:pPr>
            <w:r>
              <w:rPr>
                <w:rFonts w:ascii="Arial" w:cs="Arial" w:eastAsia="Arial" w:hAnsi="Arial"/>
                <w:sz w:val="13"/>
                <w:szCs w:val="13"/>
                <w:color w:val="auto"/>
                <w:w w:val="85"/>
              </w:rPr>
              <w:t>76,371</w:t>
            </w:r>
          </w:p>
        </w:tc>
        <w:tc>
          <w:tcPr>
            <w:tcW w:w="180" w:type="dxa"/>
            <w:vAlign w:val="bottom"/>
          </w:tcPr>
          <w:p>
            <w:pPr>
              <w:spacing w:after="0"/>
              <w:rPr>
                <w:sz w:val="13"/>
                <w:szCs w:val="13"/>
                <w:color w:val="auto"/>
              </w:rPr>
            </w:pPr>
          </w:p>
        </w:tc>
        <w:tc>
          <w:tcPr>
            <w:tcW w:w="1260" w:type="dxa"/>
            <w:vAlign w:val="bottom"/>
          </w:tcPr>
          <w:p>
            <w:pPr>
              <w:jc w:val="right"/>
              <w:ind w:right="5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Short-term commercial paper</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39,755</w:t>
            </w: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w w:val="85"/>
              </w:rPr>
              <w:t>39,755</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Derivatives</w:t>
            </w: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3,087</w:t>
            </w:r>
          </w:p>
        </w:tc>
        <w:tc>
          <w:tcPr>
            <w:tcW w:w="180" w:type="dxa"/>
            <w:vAlign w:val="bottom"/>
          </w:tcPr>
          <w:p>
            <w:pPr>
              <w:spacing w:after="0"/>
              <w:rPr>
                <w:sz w:val="14"/>
                <w:szCs w:val="14"/>
                <w:color w:val="auto"/>
              </w:rPr>
            </w:pPr>
          </w:p>
        </w:tc>
        <w:tc>
          <w:tcPr>
            <w:tcW w:w="1480" w:type="dxa"/>
            <w:vAlign w:val="bottom"/>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94"/>
              <w:spacing w:after="0"/>
              <w:rPr>
                <w:sz w:val="20"/>
                <w:szCs w:val="20"/>
                <w:color w:val="auto"/>
              </w:rPr>
            </w:pPr>
            <w:r>
              <w:rPr>
                <w:rFonts w:ascii="Arial" w:cs="Arial" w:eastAsia="Arial" w:hAnsi="Arial"/>
                <w:sz w:val="13"/>
                <w:szCs w:val="13"/>
                <w:color w:val="auto"/>
              </w:rPr>
              <w:t>3,087</w:t>
            </w:r>
          </w:p>
        </w:tc>
        <w:tc>
          <w:tcPr>
            <w:tcW w:w="18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453"/>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78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Total</w:t>
            </w:r>
          </w:p>
        </w:tc>
        <w:tc>
          <w:tcPr>
            <w:tcW w:w="1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3"/>
              </w:rPr>
              <w:t>Quoted Prices in</w:t>
            </w:r>
          </w:p>
        </w:tc>
        <w:tc>
          <w:tcPr>
            <w:tcW w:w="20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Using Significant</w:t>
            </w:r>
          </w:p>
        </w:tc>
        <w:tc>
          <w:tcPr>
            <w:tcW w:w="1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92"/>
              </w:rPr>
              <w:t>Using Significant</w:t>
            </w:r>
          </w:p>
        </w:tc>
      </w:tr>
      <w:tr>
        <w:trPr>
          <w:trHeight w:val="108"/>
        </w:trPr>
        <w:tc>
          <w:tcPr>
            <w:tcW w:w="43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Carrying</w:t>
            </w:r>
          </w:p>
        </w:tc>
        <w:tc>
          <w:tcPr>
            <w:tcW w:w="18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200" w:type="dxa"/>
            <w:vAlign w:val="bottom"/>
          </w:tcPr>
          <w:p>
            <w:pPr>
              <w:spacing w:after="0"/>
              <w:rPr>
                <w:sz w:val="9"/>
                <w:szCs w:val="9"/>
                <w:color w:val="auto"/>
              </w:rPr>
            </w:pPr>
          </w:p>
        </w:tc>
        <w:tc>
          <w:tcPr>
            <w:tcW w:w="14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Other Observable</w:t>
            </w: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Unobservable</w:t>
            </w:r>
          </w:p>
        </w:tc>
      </w:tr>
      <w:tr>
        <w:trPr>
          <w:trHeight w:val="125"/>
        </w:trPr>
        <w:tc>
          <w:tcPr>
            <w:tcW w:w="43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18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200" w:type="dxa"/>
            <w:vAlign w:val="bottom"/>
          </w:tcPr>
          <w:p>
            <w:pPr>
              <w:spacing w:after="0"/>
              <w:rPr>
                <w:sz w:val="10"/>
                <w:szCs w:val="1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Inputs (Level 2)</w:t>
            </w:r>
          </w:p>
        </w:tc>
        <w:tc>
          <w:tcPr>
            <w:tcW w:w="18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Inputs (Level 3)</w:t>
            </w:r>
          </w:p>
        </w:tc>
      </w:tr>
      <w:tr>
        <w:trPr>
          <w:trHeight w:val="29"/>
        </w:trPr>
        <w:tc>
          <w:tcPr>
            <w:tcW w:w="4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March 31, 2010:</w:t>
            </w: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7"/>
        </w:trPr>
        <w:tc>
          <w:tcPr>
            <w:tcW w:w="4300" w:type="dxa"/>
            <w:vAlign w:val="bottom"/>
          </w:tcPr>
          <w:p>
            <w:pPr>
              <w:spacing w:after="0"/>
              <w:rPr>
                <w:sz w:val="20"/>
                <w:szCs w:val="20"/>
                <w:color w:val="auto"/>
              </w:rPr>
            </w:pPr>
            <w:r>
              <w:rPr>
                <w:rFonts w:ascii="Arial" w:cs="Arial" w:eastAsia="Arial" w:hAnsi="Arial"/>
                <w:sz w:val="13"/>
                <w:szCs w:val="13"/>
                <w:color w:val="auto"/>
              </w:rPr>
              <w:t>Assets: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w:t>
            </w:r>
          </w:p>
        </w:tc>
        <w:tc>
          <w:tcPr>
            <w:tcW w:w="900" w:type="dxa"/>
            <w:vAlign w:val="bottom"/>
            <w:shd w:val="clear" w:color="auto" w:fill="CCEEFF"/>
          </w:tcPr>
          <w:p>
            <w:pPr>
              <w:jc w:val="right"/>
              <w:ind w:right="200"/>
              <w:spacing w:after="0"/>
              <w:rPr>
                <w:sz w:val="20"/>
                <w:szCs w:val="20"/>
                <w:color w:val="auto"/>
              </w:rPr>
            </w:pPr>
            <w:r>
              <w:rPr>
                <w:rFonts w:ascii="Arial" w:cs="Arial" w:eastAsia="Arial" w:hAnsi="Arial"/>
                <w:sz w:val="13"/>
                <w:szCs w:val="13"/>
                <w:color w:val="auto"/>
              </w:rPr>
              <w:t>$29,054</w:t>
            </w:r>
          </w:p>
        </w:tc>
        <w:tc>
          <w:tcPr>
            <w:tcW w:w="1660" w:type="dxa"/>
            <w:vAlign w:val="bottom"/>
            <w:gridSpan w:val="2"/>
            <w:shd w:val="clear" w:color="auto" w:fill="CCEEFF"/>
          </w:tcPr>
          <w:p>
            <w:pPr>
              <w:jc w:val="right"/>
              <w:ind w:right="501"/>
              <w:spacing w:after="0"/>
              <w:rPr>
                <w:sz w:val="20"/>
                <w:szCs w:val="20"/>
                <w:color w:val="auto"/>
              </w:rPr>
            </w:pPr>
            <w:r>
              <w:rPr>
                <w:rFonts w:ascii="Arial" w:cs="Arial" w:eastAsia="Arial" w:hAnsi="Arial"/>
                <w:sz w:val="13"/>
                <w:szCs w:val="13"/>
                <w:color w:val="auto"/>
              </w:rPr>
              <w:t>$29,054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r>
      <w:tr>
        <w:trPr>
          <w:trHeight w:val="157"/>
        </w:trPr>
        <w:tc>
          <w:tcPr>
            <w:tcW w:w="4300" w:type="dxa"/>
            <w:vAlign w:val="bottom"/>
          </w:tcPr>
          <w:p>
            <w:pPr>
              <w:spacing w:after="0"/>
              <w:rPr>
                <w:sz w:val="20"/>
                <w:szCs w:val="20"/>
                <w:color w:val="auto"/>
              </w:rPr>
            </w:pPr>
            <w:r>
              <w:rPr>
                <w:rFonts w:ascii="Arial" w:cs="Arial" w:eastAsia="Arial" w:hAnsi="Arial"/>
                <w:sz w:val="13"/>
                <w:szCs w:val="13"/>
                <w:color w:val="auto"/>
              </w:rPr>
              <w:t>Short-term government-backed securities</w:t>
            </w:r>
          </w:p>
        </w:tc>
        <w:tc>
          <w:tcPr>
            <w:tcW w:w="900" w:type="dxa"/>
            <w:vAlign w:val="bottom"/>
          </w:tcPr>
          <w:p>
            <w:pPr>
              <w:jc w:val="right"/>
              <w:ind w:right="200"/>
              <w:spacing w:after="0"/>
              <w:rPr>
                <w:sz w:val="20"/>
                <w:szCs w:val="20"/>
                <w:color w:val="auto"/>
              </w:rPr>
            </w:pPr>
            <w:r>
              <w:rPr>
                <w:rFonts w:ascii="Arial" w:cs="Arial" w:eastAsia="Arial" w:hAnsi="Arial"/>
                <w:sz w:val="13"/>
                <w:szCs w:val="13"/>
                <w:color w:val="auto"/>
              </w:rPr>
              <w:t>54,469</w:t>
            </w:r>
          </w:p>
        </w:tc>
        <w:tc>
          <w:tcPr>
            <w:tcW w:w="180" w:type="dxa"/>
            <w:vAlign w:val="bottom"/>
          </w:tcPr>
          <w:p>
            <w:pPr>
              <w:spacing w:after="0"/>
              <w:rPr>
                <w:sz w:val="13"/>
                <w:szCs w:val="13"/>
                <w:color w:val="auto"/>
              </w:rPr>
            </w:pPr>
          </w:p>
        </w:tc>
        <w:tc>
          <w:tcPr>
            <w:tcW w:w="1480" w:type="dxa"/>
            <w:vAlign w:val="bottom"/>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ind w:right="494"/>
              <w:spacing w:after="0"/>
              <w:rPr>
                <w:sz w:val="20"/>
                <w:szCs w:val="20"/>
                <w:color w:val="auto"/>
              </w:rPr>
            </w:pPr>
            <w:r>
              <w:rPr>
                <w:rFonts w:ascii="Arial" w:cs="Arial" w:eastAsia="Arial" w:hAnsi="Arial"/>
                <w:sz w:val="13"/>
                <w:szCs w:val="13"/>
                <w:color w:val="auto"/>
                <w:w w:val="85"/>
              </w:rPr>
              <w:t>54,469</w:t>
            </w:r>
          </w:p>
        </w:tc>
        <w:tc>
          <w:tcPr>
            <w:tcW w:w="180" w:type="dxa"/>
            <w:vAlign w:val="bottom"/>
          </w:tcPr>
          <w:p>
            <w:pPr>
              <w:spacing w:after="0"/>
              <w:rPr>
                <w:sz w:val="13"/>
                <w:szCs w:val="13"/>
                <w:color w:val="auto"/>
              </w:rPr>
            </w:pPr>
          </w:p>
        </w:tc>
        <w:tc>
          <w:tcPr>
            <w:tcW w:w="1260" w:type="dxa"/>
            <w:vAlign w:val="bottom"/>
          </w:tcPr>
          <w:p>
            <w:pPr>
              <w:jc w:val="right"/>
              <w:ind w:right="500"/>
              <w:spacing w:after="0"/>
              <w:rPr>
                <w:sz w:val="20"/>
                <w:szCs w:val="20"/>
                <w:color w:val="auto"/>
              </w:rPr>
            </w:pPr>
            <w:r>
              <w:rPr>
                <w:rFonts w:ascii="Arial" w:cs="Arial" w:eastAsia="Arial" w:hAnsi="Arial"/>
                <w:sz w:val="13"/>
                <w:szCs w:val="13"/>
                <w:color w:val="auto"/>
              </w:rPr>
              <w:t>—</w:t>
            </w: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Long-term government-backed securities</w:t>
            </w:r>
          </w:p>
        </w:tc>
        <w:tc>
          <w:tcPr>
            <w:tcW w:w="900" w:type="dxa"/>
            <w:vAlign w:val="bottom"/>
            <w:shd w:val="clear" w:color="auto" w:fill="CCEEFF"/>
          </w:tcPr>
          <w:p>
            <w:pPr>
              <w:jc w:val="right"/>
              <w:ind w:right="200"/>
              <w:spacing w:after="0"/>
              <w:rPr>
                <w:sz w:val="20"/>
                <w:szCs w:val="20"/>
                <w:color w:val="auto"/>
              </w:rPr>
            </w:pPr>
            <w:r>
              <w:rPr>
                <w:rFonts w:ascii="Arial" w:cs="Arial" w:eastAsia="Arial" w:hAnsi="Arial"/>
                <w:sz w:val="13"/>
                <w:szCs w:val="13"/>
                <w:color w:val="auto"/>
              </w:rPr>
              <w:t>7,342</w:t>
            </w: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7,342</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r>
      <w:tr>
        <w:trPr>
          <w:trHeight w:val="165"/>
        </w:trPr>
        <w:tc>
          <w:tcPr>
            <w:tcW w:w="4300" w:type="dxa"/>
            <w:vAlign w:val="bottom"/>
          </w:tcPr>
          <w:p>
            <w:pPr>
              <w:spacing w:after="0"/>
              <w:rPr>
                <w:sz w:val="20"/>
                <w:szCs w:val="20"/>
                <w:color w:val="auto"/>
              </w:rPr>
            </w:pPr>
            <w:r>
              <w:rPr>
                <w:rFonts w:ascii="Arial" w:cs="Arial" w:eastAsia="Arial" w:hAnsi="Arial"/>
                <w:sz w:val="13"/>
                <w:szCs w:val="13"/>
                <w:color w:val="auto"/>
              </w:rPr>
              <w:t>Derivatives</w:t>
            </w:r>
          </w:p>
        </w:tc>
        <w:tc>
          <w:tcPr>
            <w:tcW w:w="900" w:type="dxa"/>
            <w:vAlign w:val="bottom"/>
          </w:tcPr>
          <w:p>
            <w:pPr>
              <w:jc w:val="right"/>
              <w:ind w:right="200"/>
              <w:spacing w:after="0"/>
              <w:rPr>
                <w:sz w:val="20"/>
                <w:szCs w:val="20"/>
                <w:color w:val="auto"/>
              </w:rPr>
            </w:pPr>
            <w:r>
              <w:rPr>
                <w:rFonts w:ascii="Arial" w:cs="Arial" w:eastAsia="Arial" w:hAnsi="Arial"/>
                <w:sz w:val="13"/>
                <w:szCs w:val="13"/>
                <w:color w:val="auto"/>
              </w:rPr>
              <w:t>168</w:t>
            </w:r>
          </w:p>
        </w:tc>
        <w:tc>
          <w:tcPr>
            <w:tcW w:w="180" w:type="dxa"/>
            <w:vAlign w:val="bottom"/>
          </w:tcPr>
          <w:p>
            <w:pPr>
              <w:spacing w:after="0"/>
              <w:rPr>
                <w:sz w:val="14"/>
                <w:szCs w:val="14"/>
                <w:color w:val="auto"/>
              </w:rPr>
            </w:pPr>
          </w:p>
        </w:tc>
        <w:tc>
          <w:tcPr>
            <w:tcW w:w="1480" w:type="dxa"/>
            <w:vAlign w:val="bottom"/>
          </w:tcPr>
          <w:p>
            <w:pPr>
              <w:jc w:val="right"/>
              <w:ind w:right="50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94"/>
              <w:spacing w:after="0"/>
              <w:rPr>
                <w:sz w:val="20"/>
                <w:szCs w:val="20"/>
                <w:color w:val="auto"/>
              </w:rPr>
            </w:pPr>
            <w:r>
              <w:rPr>
                <w:rFonts w:ascii="Arial" w:cs="Arial" w:eastAsia="Arial" w:hAnsi="Arial"/>
                <w:sz w:val="13"/>
                <w:szCs w:val="13"/>
                <w:color w:val="auto"/>
              </w:rPr>
              <w:t>168</w:t>
            </w:r>
          </w:p>
        </w:tc>
        <w:tc>
          <w:tcPr>
            <w:tcW w:w="18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3"/>
                <w:szCs w:val="13"/>
                <w:color w:val="auto"/>
              </w:rPr>
              <w:t>—</w:t>
            </w: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Techniques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 of deposits and money market accounts.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Marketable Securities</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Short-term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Derivatives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derivatives entered into by the Company are valued using over-the-counter quoted market prices for similar instruments, and are classified within Level 2 of the valuation hierarchy.</w:t>
      </w:r>
    </w:p>
    <w:p>
      <w:pPr>
        <w:spacing w:after="0" w:line="134"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forward contracts to manage the foreign currency exposures that exist as part of its ongoing business operations. The Company does not enter into derivative instruments for trading or speculative purposes.</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hedges a portion of its intercompany sales of inventory over a maximum period of 15 months using forward foreign exchange contracts accounted for as cash flow hedges to mitigate the impact of volatility associated with foreign currency transactions.</w:t>
      </w:r>
    </w:p>
    <w:p>
      <w:pPr>
        <w:spacing w:after="0" w:line="59" w:lineRule="exact"/>
        <w:rPr>
          <w:sz w:val="20"/>
          <w:szCs w:val="20"/>
          <w:color w:val="auto"/>
        </w:rPr>
      </w:pPr>
    </w:p>
    <w:p>
      <w:pPr>
        <w:jc w:val="both"/>
        <w:ind w:left="680" w:right="800" w:firstLine="399"/>
        <w:spacing w:after="0" w:line="279" w:lineRule="auto"/>
        <w:rPr>
          <w:sz w:val="20"/>
          <w:szCs w:val="20"/>
          <w:color w:val="auto"/>
        </w:rPr>
      </w:pPr>
      <w:r>
        <w:rPr>
          <w:rFonts w:ascii="Arial" w:cs="Arial" w:eastAsia="Arial" w:hAnsi="Arial"/>
          <w:sz w:val="12"/>
          <w:szCs w:val="12"/>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in earnings in the period it occurs.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 Effectiveness is assessed at the inception of the hedge and on a quarterly basis. The assessments determine whether derivatives designated as qualifying hedges continue to be highly effective in offsetting changes in the cash flows of hedged items. Any ineffective portion of the change in fair value is included in current period earnings. Cash flow hedge accounting is discontinued when the forecasted transaction is no longer probable of occurring on the originally forecasted date, or 60 days thereafter, or when the hedge is no longer effective.</w:t>
      </w:r>
    </w:p>
    <w:p>
      <w:pPr>
        <w:spacing w:after="0" w:line="60" w:lineRule="exact"/>
        <w:rPr>
          <w:sz w:val="20"/>
          <w:szCs w:val="20"/>
          <w:color w:val="auto"/>
        </w:rPr>
      </w:pPr>
    </w:p>
    <w:p>
      <w:pPr>
        <w:jc w:val="both"/>
        <w:ind w:left="680" w:right="800" w:firstLine="399"/>
        <w:spacing w:after="0" w:line="285" w:lineRule="auto"/>
        <w:rPr>
          <w:sz w:val="20"/>
          <w:szCs w:val="20"/>
          <w:color w:val="auto"/>
        </w:rPr>
      </w:pPr>
      <w:r>
        <w:rPr>
          <w:rFonts w:ascii="Arial" w:cs="Arial" w:eastAsia="Arial" w:hAnsi="Arial"/>
          <w:sz w:val="12"/>
          <w:szCs w:val="12"/>
          <w:color w:val="auto"/>
        </w:rPr>
        <w:t>At March 31, 2011, the Company had forward contracts outstanding to hedge cash flow exposure at the Company’s wholly-owned Austrian subsidiary, AMSC Windtec GmbH (“AMSC Windtec”), with aggregate U.S. dollar equivalent notional amounts of $40.9 million. These contracts expire at various dates through March 2012. The Company discontinued hedge accounting for the forward foreign exchange contracts outstanding as of March 31, 2011 based on the Company’s determination that the original forecasted transactions were not probable of occurring by the end of the originally specified time period. As a result, the Company reclassified accumulated gains of $1.6 million from accumulated other comprehensive income (loss) to other income (expense), net, in the accompanying consolidated statements of operations. At March 31, 2011, the fair value of these forward foreign exchange contracts was $2.0 million.</w:t>
      </w:r>
    </w:p>
    <w:p>
      <w:pPr>
        <w:spacing w:after="0" w:line="55"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fair value amounts of asset derivatives included in prepaid expenses and other current assets and liability derivatives included in accounts payable and accrued expenses in the consolidated balance sheets related to forward foreign exchange contracts as of March 31, 2011 and 2010 were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5"/>
          </w:tcPr>
          <w:p>
            <w:pPr>
              <w:ind w:left="420"/>
              <w:spacing w:after="0"/>
              <w:rPr>
                <w:sz w:val="20"/>
                <w:szCs w:val="20"/>
                <w:color w:val="auto"/>
              </w:rPr>
            </w:pPr>
            <w:r>
              <w:rPr>
                <w:rFonts w:ascii="Arial" w:cs="Arial" w:eastAsia="Arial" w:hAnsi="Arial"/>
                <w:sz w:val="10"/>
                <w:szCs w:val="10"/>
                <w:b w:val="1"/>
                <w:bCs w:val="1"/>
                <w:color w:val="auto"/>
              </w:rPr>
              <w:t>Asset Derivatives</w:t>
            </w:r>
          </w:p>
        </w:tc>
        <w:tc>
          <w:tcPr>
            <w:tcW w:w="80" w:type="dxa"/>
            <w:vAlign w:val="bottom"/>
          </w:tcPr>
          <w:p>
            <w:pPr>
              <w:spacing w:after="0"/>
              <w:rPr>
                <w:sz w:val="10"/>
                <w:szCs w:val="10"/>
                <w:color w:val="auto"/>
              </w:rPr>
            </w:pPr>
          </w:p>
        </w:tc>
        <w:tc>
          <w:tcPr>
            <w:tcW w:w="1700" w:type="dxa"/>
            <w:vAlign w:val="bottom"/>
            <w:gridSpan w:val="5"/>
          </w:tcPr>
          <w:p>
            <w:pPr>
              <w:ind w:left="340"/>
              <w:spacing w:after="0"/>
              <w:rPr>
                <w:sz w:val="20"/>
                <w:szCs w:val="20"/>
                <w:color w:val="auto"/>
              </w:rPr>
            </w:pPr>
            <w:r>
              <w:rPr>
                <w:rFonts w:ascii="Arial" w:cs="Arial" w:eastAsia="Arial" w:hAnsi="Arial"/>
                <w:sz w:val="10"/>
                <w:szCs w:val="10"/>
                <w:b w:val="1"/>
                <w:bCs w:val="1"/>
                <w:color w:val="auto"/>
              </w:rPr>
              <w:t>Liability Derivatives</w:t>
            </w:r>
          </w:p>
        </w:tc>
      </w:tr>
      <w:tr>
        <w:trPr>
          <w:trHeight w:val="81"/>
        </w:trPr>
        <w:tc>
          <w:tcPr>
            <w:tcW w:w="5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45"/>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5"/>
              <w:spacing w:after="0" w:line="81" w:lineRule="exact"/>
              <w:rPr>
                <w:sz w:val="20"/>
                <w:szCs w:val="20"/>
                <w:color w:val="auto"/>
              </w:rPr>
            </w:pPr>
            <w:r>
              <w:rPr>
                <w:rFonts w:ascii="Arial" w:cs="Arial" w:eastAsia="Arial" w:hAnsi="Arial"/>
                <w:sz w:val="9"/>
                <w:szCs w:val="9"/>
                <w:b w:val="1"/>
                <w:bCs w:val="1"/>
                <w:color w:val="auto"/>
              </w:rPr>
              <w:t>March 31,</w:t>
            </w:r>
          </w:p>
        </w:tc>
        <w:tc>
          <w:tcPr>
            <w:tcW w:w="20" w:type="dxa"/>
            <w:vAlign w:val="bottom"/>
          </w:tcPr>
          <w:p>
            <w:pPr>
              <w:spacing w:after="0"/>
              <w:rPr>
                <w:sz w:val="7"/>
                <w:szCs w:val="7"/>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10"/>
                <w:szCs w:val="10"/>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3"/>
                <w:szCs w:val="13"/>
                <w:color w:val="auto"/>
              </w:rPr>
              <w:t>Forward foreign exchange contract derivatives not designated as cash flow hedges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2,008</w:t>
            </w:r>
          </w:p>
        </w:tc>
        <w:tc>
          <w:tcPr>
            <w:tcW w:w="4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w w:val="91"/>
              </w:rPr>
              <w:t>—</w:t>
            </w:r>
          </w:p>
        </w:tc>
      </w:tr>
      <w:tr>
        <w:trPr>
          <w:trHeight w:val="30"/>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The Company recognized the following pre-tax gains in other comprehensive income related to forward foreign exchange contracts designated as cash flow hedges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6"/>
          </w:tcPr>
          <w:p>
            <w:pPr>
              <w:jc w:val="right"/>
              <w:ind w:right="180"/>
              <w:spacing w:after="0"/>
              <w:rPr>
                <w:sz w:val="20"/>
                <w:szCs w:val="20"/>
                <w:color w:val="auto"/>
              </w:rPr>
            </w:pPr>
            <w:r>
              <w:rPr>
                <w:rFonts w:ascii="Arial" w:cs="Arial" w:eastAsia="Arial" w:hAnsi="Arial"/>
                <w:sz w:val="10"/>
                <w:szCs w:val="10"/>
                <w:b w:val="1"/>
                <w:bCs w:val="1"/>
                <w:color w:val="auto"/>
                <w:w w:val="94"/>
              </w:rPr>
              <w:t>For the Fiscal Years Ended March 31,</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Gains recognized in other 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1,560</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20" w:type="dxa"/>
            <w:vAlign w:val="bottom"/>
          </w:tcPr>
          <w:p>
            <w:pPr>
              <w:spacing w:after="0"/>
              <w:rPr>
                <w:sz w:val="20"/>
                <w:szCs w:val="20"/>
                <w:color w:val="auto"/>
              </w:rPr>
            </w:pPr>
            <w:r>
              <w:rPr>
                <w:rFonts w:ascii="Arial" w:cs="Arial" w:eastAsia="Arial" w:hAnsi="Arial"/>
                <w:sz w:val="13"/>
                <w:szCs w:val="13"/>
                <w:color w:val="auto"/>
              </w:rPr>
              <w:t>Gains reclassified from other comprehensive income to other income (expense), net due to ineffective hedges</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(1,560)</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020" w:type="dxa"/>
            <w:vAlign w:val="bottom"/>
          </w:tcPr>
          <w:p>
            <w:pPr>
              <w:jc w:val="right"/>
              <w:ind w:right="2894"/>
              <w:spacing w:after="0"/>
              <w:rPr>
                <w:sz w:val="20"/>
                <w:szCs w:val="20"/>
                <w:color w:val="auto"/>
              </w:rPr>
            </w:pPr>
            <w:r>
              <w:rPr>
                <w:rFonts w:ascii="Arial" w:cs="Arial" w:eastAsia="Arial" w:hAnsi="Arial"/>
                <w:sz w:val="13"/>
                <w:szCs w:val="13"/>
                <w:color w:val="auto"/>
              </w:rPr>
              <w:t>80</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recognized the following pre-tax gains (losses) related to forward foreign exchange contracts in the consolidated statements of income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For the Fiscal Years Ended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0"/>
                <w:szCs w:val="10"/>
                <w:b w:val="1"/>
                <w:bCs w:val="1"/>
                <w:color w:val="auto"/>
              </w:rPr>
              <w:t>March 31,</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99"/>
              <w:spacing w:after="0" w:line="98" w:lineRule="exact"/>
              <w:rPr>
                <w:sz w:val="20"/>
                <w:szCs w:val="20"/>
                <w:color w:val="auto"/>
              </w:rPr>
            </w:pPr>
            <w:r>
              <w:rPr>
                <w:rFonts w:ascii="Arial" w:cs="Arial" w:eastAsia="Arial" w:hAnsi="Arial"/>
                <w:sz w:val="10"/>
                <w:szCs w:val="10"/>
                <w:b w:val="1"/>
                <w:bCs w:val="1"/>
                <w:color w:val="auto"/>
                <w:w w:val="98"/>
              </w:rPr>
              <w:t>2011</w:t>
            </w:r>
          </w:p>
        </w:tc>
        <w:tc>
          <w:tcPr>
            <w:tcW w:w="7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50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Gains (losses) recognized in other income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w:t>
            </w:r>
          </w:p>
        </w:tc>
        <w:tc>
          <w:tcPr>
            <w:tcW w:w="4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Gains (losses) recognized in cost of revenues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1,514</w:t>
            </w:r>
          </w:p>
        </w:tc>
        <w:tc>
          <w:tcPr>
            <w:tcW w:w="480" w:type="dxa"/>
            <w:vAlign w:val="bottom"/>
          </w:tcPr>
          <w:p>
            <w:pPr>
              <w:spacing w:after="0"/>
              <w:rPr>
                <w:sz w:val="13"/>
                <w:szCs w:val="13"/>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Gains reclassified from other comprehensive income to other income (expense) on discontinued cash flow hedges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4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6,280</w:t>
            </w:r>
          </w:p>
        </w:tc>
        <w:tc>
          <w:tcPr>
            <w:tcW w:w="480" w:type="dxa"/>
            <w:vAlign w:val="bottom"/>
          </w:tcPr>
          <w:p>
            <w:pPr>
              <w:spacing w:after="0"/>
              <w:rPr>
                <w:sz w:val="13"/>
                <w:szCs w:val="13"/>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3"/>
                <w:szCs w:val="13"/>
                <w:color w:val="auto"/>
                <w:w w:val="92"/>
              </w:rPr>
              <w:t>$ —</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Balance Sheet Hedges</w:t>
      </w:r>
    </w:p>
    <w:p>
      <w:pPr>
        <w:spacing w:after="0" w:line="96"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color w:val="auto"/>
        </w:rPr>
        <w:t>In addition to cash flow hedges, the Company also enters into foreign currency forward exchange contracts to mitigate the impact of foreign exchange risk related to non-functional currency receivable balances in its foreign entities. The Company does not elect hedge accounting treatment for these hedges and consequently, changes in the fair value of these contracts are recorded within other income (expense), net, in the period which they occur. At March 31, 2011, the Company had forward contracts outstanding with aggregate U.S. dollar equivalent notional amounts of $125.5 million.</w:t>
      </w:r>
    </w:p>
    <w:p>
      <w:pPr>
        <w:spacing w:after="0" w:line="70"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fair value amounts of asset derivatives included in prepaid expenses and other current assets and liability derivatives included in accounts payable and accrued expenses in the consolidated balance sheets related to forward foreign exchange contracts related to non-functional currency receivable balances as of March 31, 2011 and 2010 were as follows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5"/>
          </w:tcPr>
          <w:p>
            <w:pPr>
              <w:jc w:val="right"/>
              <w:ind w:right="920"/>
              <w:spacing w:after="0"/>
              <w:rPr>
                <w:sz w:val="20"/>
                <w:szCs w:val="20"/>
                <w:color w:val="auto"/>
              </w:rPr>
            </w:pPr>
            <w:r>
              <w:rPr>
                <w:rFonts w:ascii="Arial" w:cs="Arial" w:eastAsia="Arial" w:hAnsi="Arial"/>
                <w:sz w:val="10"/>
                <w:szCs w:val="10"/>
                <w:b w:val="1"/>
                <w:bCs w:val="1"/>
                <w:color w:val="auto"/>
              </w:rPr>
              <w:t>Asset Derivatives</w:t>
            </w:r>
          </w:p>
        </w:tc>
        <w:tc>
          <w:tcPr>
            <w:tcW w:w="80" w:type="dxa"/>
            <w:vAlign w:val="bottom"/>
          </w:tcPr>
          <w:p>
            <w:pPr>
              <w:spacing w:after="0"/>
              <w:rPr>
                <w:sz w:val="10"/>
                <w:szCs w:val="10"/>
                <w:color w:val="auto"/>
              </w:rPr>
            </w:pPr>
          </w:p>
        </w:tc>
        <w:tc>
          <w:tcPr>
            <w:tcW w:w="1700" w:type="dxa"/>
            <w:vAlign w:val="bottom"/>
            <w:gridSpan w:val="5"/>
          </w:tcPr>
          <w:p>
            <w:pPr>
              <w:ind w:left="340"/>
              <w:spacing w:after="0"/>
              <w:rPr>
                <w:sz w:val="20"/>
                <w:szCs w:val="20"/>
                <w:color w:val="auto"/>
              </w:rPr>
            </w:pPr>
            <w:r>
              <w:rPr>
                <w:rFonts w:ascii="Arial" w:cs="Arial" w:eastAsia="Arial" w:hAnsi="Arial"/>
                <w:sz w:val="10"/>
                <w:szCs w:val="10"/>
                <w:b w:val="1"/>
                <w:bCs w:val="1"/>
                <w:color w:val="auto"/>
              </w:rPr>
              <w:t>Liability Derivatives</w:t>
            </w:r>
          </w:p>
        </w:tc>
      </w:tr>
      <w:tr>
        <w:trPr>
          <w:trHeight w:val="81"/>
        </w:trPr>
        <w:tc>
          <w:tcPr>
            <w:tcW w:w="5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45"/>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5"/>
              <w:spacing w:after="0" w:line="81" w:lineRule="exact"/>
              <w:rPr>
                <w:sz w:val="20"/>
                <w:szCs w:val="20"/>
                <w:color w:val="auto"/>
              </w:rPr>
            </w:pPr>
            <w:r>
              <w:rPr>
                <w:rFonts w:ascii="Arial" w:cs="Arial" w:eastAsia="Arial" w:hAnsi="Arial"/>
                <w:sz w:val="9"/>
                <w:szCs w:val="9"/>
                <w:b w:val="1"/>
                <w:bCs w:val="1"/>
                <w:color w:val="auto"/>
              </w:rPr>
              <w:t>March 31,</w:t>
            </w:r>
          </w:p>
        </w:tc>
        <w:tc>
          <w:tcPr>
            <w:tcW w:w="20" w:type="dxa"/>
            <w:vAlign w:val="bottom"/>
          </w:tcPr>
          <w:p>
            <w:pPr>
              <w:spacing w:after="0"/>
              <w:rPr>
                <w:sz w:val="7"/>
                <w:szCs w:val="7"/>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10"/>
                <w:szCs w:val="10"/>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3"/>
                <w:szCs w:val="13"/>
                <w:color w:val="auto"/>
              </w:rPr>
              <w:t>Forward foreign exchange contracts related to non-functional currency receivable balances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1,079</w:t>
            </w:r>
          </w:p>
        </w:tc>
        <w:tc>
          <w:tcPr>
            <w:tcW w:w="4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w w:val="91"/>
              </w:rPr>
              <w:t>—</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Company recognized the following pre-tax gains (losses) related to forward foreign exchange contracts related to non-functional currency receivable balances in the consolidated statements of income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2480" w:type="dxa"/>
            <w:vAlign w:val="bottom"/>
            <w:gridSpan w:val="10"/>
          </w:tcPr>
          <w:p>
            <w:pPr>
              <w:jc w:val="center"/>
              <w:ind w:right="100"/>
              <w:spacing w:after="0"/>
              <w:rPr>
                <w:sz w:val="20"/>
                <w:szCs w:val="20"/>
                <w:color w:val="auto"/>
              </w:rPr>
            </w:pPr>
            <w:r>
              <w:rPr>
                <w:rFonts w:ascii="Arial" w:cs="Arial" w:eastAsia="Arial" w:hAnsi="Arial"/>
                <w:sz w:val="10"/>
                <w:szCs w:val="10"/>
                <w:b w:val="1"/>
                <w:bCs w:val="1"/>
                <w:color w:val="auto"/>
                <w:w w:val="95"/>
              </w:rPr>
              <w:t>For the Fiscal Years Ended March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83"/>
              <w:spacing w:after="0" w:line="98" w:lineRule="exact"/>
              <w:rPr>
                <w:sz w:val="20"/>
                <w:szCs w:val="20"/>
                <w:color w:val="auto"/>
              </w:rPr>
            </w:pPr>
            <w:r>
              <w:rPr>
                <w:rFonts w:ascii="Arial" w:cs="Arial" w:eastAsia="Arial" w:hAnsi="Arial"/>
                <w:sz w:val="10"/>
                <w:szCs w:val="10"/>
                <w:b w:val="1"/>
                <w:bCs w:val="1"/>
                <w:color w:val="auto"/>
              </w:rPr>
              <w:t>2011</w:t>
            </w: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3"/>
                <w:szCs w:val="13"/>
                <w:color w:val="auto"/>
              </w:rPr>
              <w:t>Gains (losses) recognized in other income (expense), net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  6,666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(3,345)</w:t>
            </w:r>
          </w:p>
        </w:tc>
        <w:tc>
          <w:tcPr>
            <w:tcW w:w="10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   (171)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380" w:type="dxa"/>
            <w:vAlign w:val="bottom"/>
          </w:tcPr>
          <w:p>
            <w:pPr>
              <w:jc w:val="right"/>
              <w:ind w:right="5974"/>
              <w:spacing w:after="0"/>
              <w:rPr>
                <w:sz w:val="20"/>
                <w:szCs w:val="20"/>
                <w:color w:val="auto"/>
              </w:rPr>
            </w:pPr>
            <w:r>
              <w:rPr>
                <w:rFonts w:ascii="Arial" w:cs="Arial" w:eastAsia="Arial" w:hAnsi="Arial"/>
                <w:sz w:val="13"/>
                <w:szCs w:val="13"/>
                <w:b w:val="1"/>
                <w:bCs w:val="1"/>
                <w:color w:val="auto"/>
              </w:rPr>
              <w:t>Accounts Receivable</w:t>
            </w: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80" w:type="dxa"/>
            <w:vAlign w:val="bottom"/>
          </w:tcPr>
          <w:p>
            <w:pPr>
              <w:jc w:val="right"/>
              <w:ind w:right="2254"/>
              <w:spacing w:after="0"/>
              <w:rPr>
                <w:sz w:val="20"/>
                <w:szCs w:val="20"/>
                <w:color w:val="auto"/>
              </w:rPr>
            </w:pPr>
            <w:r>
              <w:rPr>
                <w:rFonts w:ascii="Arial" w:cs="Arial" w:eastAsia="Arial" w:hAnsi="Arial"/>
                <w:sz w:val="13"/>
                <w:szCs w:val="13"/>
                <w:color w:val="auto"/>
                <w:w w:val="96"/>
              </w:rPr>
              <w:t>Accounts receivable at March 31, 2011 and 2010 consisted of the following (in thousands):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0"/>
                <w:szCs w:val="10"/>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w w:val="89"/>
              </w:rPr>
              <w:t>2011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(billed)</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12,912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3"/>
                <w:szCs w:val="13"/>
                <w:color w:val="auto"/>
              </w:rPr>
              <w:t>Accounts receivable (unbilled)</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5,004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Allowance for doubtful accounts</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vMerge w:val="restart"/>
          </w:tcPr>
          <w:p>
            <w:pPr>
              <w:jc w:val="right"/>
              <w:ind w:right="5994"/>
              <w:spacing w:after="0"/>
              <w:rPr>
                <w:sz w:val="20"/>
                <w:szCs w:val="20"/>
                <w:color w:val="auto"/>
              </w:rPr>
            </w:pPr>
            <w:r>
              <w:rPr>
                <w:rFonts w:ascii="Arial" w:cs="Arial" w:eastAsia="Arial" w:hAnsi="Arial"/>
                <w:sz w:val="13"/>
                <w:szCs w:val="13"/>
                <w:color w:val="auto"/>
                <w:w w:val="91"/>
              </w:rPr>
              <w:t>Accounts receivable, net</w:t>
            </w: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17,233</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57,290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Pr>
          <w:p>
            <w:pPr>
              <w:jc w:val="right"/>
              <w:ind w:right="2374"/>
              <w:spacing w:after="0"/>
              <w:rPr>
                <w:sz w:val="20"/>
                <w:szCs w:val="20"/>
                <w:color w:val="auto"/>
              </w:rPr>
            </w:pPr>
            <w:r>
              <w:rPr>
                <w:rFonts w:ascii="Arial" w:cs="Arial" w:eastAsia="Arial" w:hAnsi="Arial"/>
                <w:sz w:val="13"/>
                <w:szCs w:val="13"/>
                <w:color w:val="auto"/>
              </w:rPr>
              <w:t>81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3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overall reduction in accounts receivable as of March 31, 2011 reflects the effects of cash basis accounting for certain of the Company’s customers in China.</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Company recorded net long-term receivables of $14.1 million in the fiscal year ended March 31, 2010 that were classified within other assets and long-term deferred revenue on the consolidated balance sheet. During the fiscal year ended March 31, 2011, the Company reversed amounts previously classified as net long-term receivables and the associated long-term deferred revenue as these fees were no longer deemed to be fixed or determinable.</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8180" w:type="dxa"/>
            <w:vAlign w:val="bottom"/>
          </w:tcPr>
          <w:p>
            <w:pPr>
              <w:ind w:left="200"/>
              <w:spacing w:after="0"/>
              <w:rPr>
                <w:sz w:val="20"/>
                <w:szCs w:val="20"/>
                <w:color w:val="auto"/>
              </w:rPr>
            </w:pPr>
            <w:r>
              <w:rPr>
                <w:rFonts w:ascii="Arial" w:cs="Arial" w:eastAsia="Arial" w:hAnsi="Arial"/>
                <w:sz w:val="13"/>
                <w:szCs w:val="13"/>
                <w:b w:val="1"/>
                <w:bCs w:val="1"/>
                <w:color w:val="auto"/>
              </w:rPr>
              <w:t>Inventory</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8180" w:type="dxa"/>
            <w:vAlign w:val="bottom"/>
          </w:tcPr>
          <w:p>
            <w:pPr>
              <w:ind w:left="280"/>
              <w:spacing w:after="0"/>
              <w:rPr>
                <w:sz w:val="20"/>
                <w:szCs w:val="20"/>
                <w:color w:val="auto"/>
              </w:rPr>
            </w:pPr>
            <w:r>
              <w:rPr>
                <w:rFonts w:ascii="Arial" w:cs="Arial" w:eastAsia="Arial" w:hAnsi="Arial"/>
                <w:sz w:val="13"/>
                <w:szCs w:val="13"/>
                <w:color w:val="auto"/>
              </w:rPr>
              <w:t>Inventory at March 31, 2011 and 2010 consisted of the following (in thousands):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18,065</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Work-in-progress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2,881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7,318</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7,879</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Deferred program costs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2,381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2,596</w:t>
            </w:r>
          </w:p>
        </w:tc>
      </w:tr>
      <w:tr>
        <w:trPr>
          <w:trHeight w:val="20"/>
        </w:trPr>
        <w:tc>
          <w:tcPr>
            <w:tcW w:w="1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35,858</w:t>
            </w: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As of March 31, 2011, finished goods inventory includes $1.1 million representing costs of product shipped to customers in China on contracts for which revenue will not be recognized until cash is received or payment is otherwise assured.</w:t>
      </w:r>
    </w:p>
    <w:p>
      <w:pPr>
        <w:spacing w:after="0" w:line="59"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Company recorded an inventory write-down of approximately $63.9 million based on its evaluation of forecasted demand in relation to the inventory on hand and market conditions surrounding its products as a result of the assumption that Sinovel and certain other customers in China will fail to meet their contractual obligations under existing supply agreements and demand that was previously forecasted will fail to materialize.</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Deferred program costs as of March 31, 2011 and 2010 primarily represent costs incurred on D-VAR turnkey projects and programs accounted for under contract accounting where the Company needs to complete development programs before revenue and costs will be recognized, respectively.</w:t>
      </w:r>
    </w:p>
    <w:p>
      <w:pPr>
        <w:spacing w:after="0" w:line="134"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cost and accumulated depreciation of property and equipment at March 31, 2011 and 2010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4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Construction in progress — equipment</w:t>
            </w: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25,968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13,099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Buildings</w:t>
            </w:r>
          </w:p>
        </w:tc>
        <w:tc>
          <w:tcPr>
            <w:tcW w:w="4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36,852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Equipment and software</w:t>
            </w: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57,151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34,980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5,024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3,389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gross</w:t>
            </w:r>
          </w:p>
        </w:tc>
        <w:tc>
          <w:tcPr>
            <w:tcW w:w="4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130,824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93,591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Less accumulated depreciation and amortization</w:t>
            </w: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(34,330)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(29,276)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4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96,494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64,315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300" w:type="dxa"/>
            <w:vAlign w:val="bottom"/>
          </w:tcPr>
          <w:p>
            <w:pPr>
              <w:jc w:val="right"/>
              <w:ind w:right="2974"/>
              <w:spacing w:after="0"/>
              <w:rPr>
                <w:sz w:val="20"/>
                <w:szCs w:val="20"/>
                <w:color w:val="auto"/>
              </w:rPr>
            </w:pPr>
            <w:r>
              <w:rPr>
                <w:rFonts w:ascii="Arial" w:cs="Arial" w:eastAsia="Arial" w:hAnsi="Arial"/>
                <w:sz w:val="13"/>
                <w:szCs w:val="13"/>
                <w:color w:val="auto"/>
              </w:rPr>
              <w:t>82</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expense was $8.4 million, $7.1 million, and $5.6 million for the fiscal years ended March 31, 2011, 2010, and 2009, respectively.</w:t>
      </w:r>
    </w:p>
    <w:p>
      <w:pPr>
        <w:spacing w:after="0" w:line="171"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jc w:val="both"/>
        <w:ind w:left="680" w:right="800" w:firstLine="399"/>
        <w:spacing w:after="0" w:line="282" w:lineRule="auto"/>
        <w:rPr>
          <w:sz w:val="20"/>
          <w:szCs w:val="20"/>
          <w:color w:val="auto"/>
        </w:rPr>
      </w:pPr>
      <w:r>
        <w:rPr>
          <w:rFonts w:ascii="Arial" w:cs="Arial" w:eastAsia="Arial" w:hAnsi="Arial"/>
          <w:sz w:val="12"/>
          <w:szCs w:val="12"/>
          <w:color w:val="auto"/>
        </w:rPr>
        <w:t>The Company tests goodwill for impairment at least annually and more frequently upon the occurrence of certain events, which may indicate that impairment has occurred. The provisions of the accounting guidance for goodwill require that a two-step impairment test be performed on goodwill. In the first step, the Company compares the fair value, which is determined by the use of a discounted cash flow technique, of the reporting unit to its carrying value. If the fair value of the reporting unit exceeds the carrying value of the net assets of that reporting unit, goodwill is not impaired and the Company is not required to perform further testing. If the carrying value of the net assets assigned to the reporting unit exceeds the fair value of that unit, then the Company must perform the second step of the impairment test in order to determine the implied fair value of the reporting entity’s goodwill. If the carrying value of a reporting unit’s goodwill exceeds it implied fair value, the Company records an impairment loss equal to the difference.</w:t>
      </w:r>
    </w:p>
    <w:p>
      <w:pPr>
        <w:spacing w:after="0" w:line="59" w:lineRule="exact"/>
        <w:rPr>
          <w:sz w:val="20"/>
          <w:szCs w:val="20"/>
          <w:color w:val="auto"/>
        </w:rPr>
      </w:pPr>
    </w:p>
    <w:p>
      <w:pPr>
        <w:jc w:val="both"/>
        <w:ind w:left="680" w:right="800" w:firstLine="399"/>
        <w:spacing w:after="0" w:line="289" w:lineRule="auto"/>
        <w:rPr>
          <w:sz w:val="20"/>
          <w:szCs w:val="20"/>
          <w:color w:val="auto"/>
        </w:rPr>
      </w:pPr>
      <w:r>
        <w:rPr>
          <w:rFonts w:ascii="Arial" w:cs="Arial" w:eastAsia="Arial" w:hAnsi="Arial"/>
          <w:sz w:val="12"/>
          <w:szCs w:val="12"/>
          <w:color w:val="auto"/>
        </w:rPr>
        <w:t>The Company performed its annual assessment of goodwill of the Windtec and PSNA reporting units on March 31, 2011. The Company’s annual assessment date corresponded with a triggering event caused by the refusal by Sinovel to accept scheduled shipments from the Company on March 31, 2011. As a result of reductions in its revenue and operating forecasts related to Sinovel and certain of its other customers in China, the Company determined that the goodwill related to both the Windtec and PSNA reporting units was fully impaired. Accordingly, the Company recorded impairment charges of $42.1 million and $6.9 million for the Windtec and PSNA reporting units, respectively during the fourth quarter of fiscal 2010.</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goodwill for the fiscal years ended March 31, 2011 and 2010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Balance at April 1, 2009</w:t>
            </w:r>
          </w:p>
        </w:tc>
        <w:tc>
          <w:tcPr>
            <w:tcW w:w="6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Contingent consideration</w:t>
            </w:r>
          </w:p>
        </w:tc>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Net foreign exchange rate impact</w:t>
            </w:r>
          </w:p>
        </w:tc>
        <w:tc>
          <w:tcPr>
            <w:tcW w:w="5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3"/>
                <w:szCs w:val="13"/>
                <w:color w:val="auto"/>
              </w:rPr>
              <w:t>Balance at March 31, 2010</w:t>
            </w:r>
          </w:p>
        </w:tc>
        <w:tc>
          <w:tcPr>
            <w:tcW w:w="5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5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Impairment of goodwill</w:t>
            </w:r>
          </w:p>
        </w:tc>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(48,959)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Net foreign exchange rate impact</w:t>
            </w:r>
          </w:p>
        </w:tc>
        <w:tc>
          <w:tcPr>
            <w:tcW w:w="5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3"/>
                <w:szCs w:val="13"/>
                <w:color w:val="auto"/>
              </w:rPr>
              <w:t>Balance at March 31, 2011</w:t>
            </w:r>
          </w:p>
        </w:tc>
        <w:tc>
          <w:tcPr>
            <w:tcW w:w="5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6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60" w:type="dxa"/>
            <w:vAlign w:val="bottom"/>
          </w:tcPr>
          <w:p>
            <w:pPr>
              <w:jc w:val="right"/>
              <w:ind w:right="4074"/>
              <w:spacing w:after="0"/>
              <w:rPr>
                <w:sz w:val="20"/>
                <w:szCs w:val="20"/>
                <w:color w:val="auto"/>
              </w:rPr>
            </w:pPr>
            <w:r>
              <w:rPr>
                <w:rFonts w:ascii="Arial" w:cs="Arial" w:eastAsia="Arial" w:hAnsi="Arial"/>
                <w:sz w:val="13"/>
                <w:szCs w:val="13"/>
                <w:color w:val="auto"/>
              </w:rPr>
              <w:t>83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58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at March 31, 2011 and 2010 consisted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rPr>
              <w:t>2011</w:t>
            </w: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Estimated</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Gross</w:t>
            </w:r>
          </w:p>
        </w:tc>
        <w:tc>
          <w:tcPr>
            <w:tcW w:w="80" w:type="dxa"/>
            <w:vAlign w:val="bottom"/>
          </w:tcPr>
          <w:p>
            <w:pPr>
              <w:spacing w:after="0"/>
              <w:rPr>
                <w:sz w:val="7"/>
                <w:szCs w:val="7"/>
                <w:color w:val="auto"/>
              </w:rPr>
            </w:pPr>
          </w:p>
        </w:tc>
        <w:tc>
          <w:tcPr>
            <w:tcW w:w="92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500" w:type="dxa"/>
            <w:vAlign w:val="bottom"/>
          </w:tcPr>
          <w:p>
            <w:pPr>
              <w:jc w:val="right"/>
              <w:ind w:right="18"/>
              <w:spacing w:after="0" w:line="81" w:lineRule="exact"/>
              <w:rPr>
                <w:sz w:val="20"/>
                <w:szCs w:val="20"/>
                <w:color w:val="auto"/>
              </w:rPr>
            </w:pPr>
            <w:r>
              <w:rPr>
                <w:rFonts w:ascii="Arial" w:cs="Arial" w:eastAsia="Arial" w:hAnsi="Arial"/>
                <w:sz w:val="9"/>
                <w:szCs w:val="9"/>
                <w:b w:val="1"/>
                <w:bCs w:val="1"/>
                <w:color w:val="auto"/>
              </w:rPr>
              <w:t>Net Book</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9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52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Net Book</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Value</w:t>
            </w:r>
          </w:p>
        </w:tc>
        <w:tc>
          <w:tcPr>
            <w:tcW w:w="10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Useful Life</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Licenses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Patents</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9,038</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(4,891)</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4,147</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7,531</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(3,965)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3,566</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Contractual relationships/ backlog</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3,463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2</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2,638</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(1,908)</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730</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3 - 5</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Trade names and trademarks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1,281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655</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Core technology and know-how</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5,841</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(4,245)</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1,596</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5,646</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(3,108)</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2,538</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5 - 10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19,068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(12,014)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22,425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7,770</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Company recorded intangible amortization expense of $2.9 million, $2.7 million, and $2.8 million for the fiscal years ended March 31, 2011, 2010, and 2009, respectively and impairment charges of $0.4 million for the year ended March 31, 2011. During fiscal year ended March 31, 2011, certain fully amortized or impaired intangible assets were removed from the gross and related accumulated amortization accounts.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Expected future amortization expense related to intangible assets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8500" w:type="dxa"/>
            <w:vAlign w:val="bottom"/>
            <w:gridSpan w:val="2"/>
          </w:tcPr>
          <w:p>
            <w:pPr>
              <w:spacing w:after="0"/>
              <w:rPr>
                <w:sz w:val="20"/>
                <w:szCs w:val="20"/>
                <w:color w:val="auto"/>
              </w:rPr>
            </w:pPr>
            <w:r>
              <w:rPr>
                <w:rFonts w:ascii="Arial" w:cs="Arial" w:eastAsia="Arial" w:hAnsi="Arial"/>
                <w:sz w:val="10"/>
                <w:szCs w:val="10"/>
                <w:b w:val="1"/>
                <w:bCs w:val="1"/>
                <w:color w:val="auto"/>
              </w:rPr>
              <w:t>For the Fiscal Years Ended March 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tcPr>
          <w:p>
            <w:pPr>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tcPr>
          <w:p>
            <w:pPr>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0" w:type="dxa"/>
            <w:vAlign w:val="bottom"/>
          </w:tcPr>
          <w:p>
            <w:pPr>
              <w:ind w:left="300"/>
              <w:spacing w:after="0"/>
              <w:rPr>
                <w:sz w:val="20"/>
                <w:szCs w:val="20"/>
                <w:color w:val="auto"/>
              </w:rPr>
            </w:pPr>
            <w:r>
              <w:rPr>
                <w:rFonts w:ascii="Arial" w:cs="Arial" w:eastAsia="Arial" w:hAnsi="Arial"/>
                <w:sz w:val="13"/>
                <w:szCs w:val="13"/>
                <w:color w:val="auto"/>
              </w:rPr>
              <w:t>The geographic composition of goodwill and intangible assets is as follows (in thousands):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5"/>
          </w:tcPr>
          <w:p>
            <w:pPr>
              <w:jc w:val="right"/>
              <w:ind w:right="480"/>
              <w:spacing w:after="0"/>
              <w:rPr>
                <w:sz w:val="20"/>
                <w:szCs w:val="20"/>
                <w:color w:val="auto"/>
              </w:rPr>
            </w:pPr>
            <w:r>
              <w:rPr>
                <w:rFonts w:ascii="Arial" w:cs="Arial" w:eastAsia="Arial" w:hAnsi="Arial"/>
                <w:sz w:val="10"/>
                <w:szCs w:val="10"/>
                <w:b w:val="1"/>
                <w:bCs w:val="1"/>
                <w:color w:val="auto"/>
                <w:w w:val="99"/>
              </w:rPr>
              <w:t>March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2011</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by geography:</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U.S.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3"/>
                <w:szCs w:val="13"/>
                <w:color w:val="auto"/>
                <w:w w:val="92"/>
              </w:rPr>
              <w:t>$ —</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29,835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3"/>
                <w:szCs w:val="13"/>
                <w:color w:val="auto"/>
                <w:w w:val="92"/>
              </w:rPr>
              <w:t>$ —</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36,696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 by geography:</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U.S.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4"/>
          </w:tcPr>
          <w:p>
            <w:pPr>
              <w:jc w:val="right"/>
              <w:ind w:right="20"/>
              <w:spacing w:after="0"/>
              <w:rPr>
                <w:sz w:val="20"/>
                <w:szCs w:val="20"/>
                <w:color w:val="auto"/>
              </w:rPr>
            </w:pPr>
            <w:r>
              <w:rPr>
                <w:rFonts w:ascii="Arial" w:cs="Arial" w:eastAsia="Arial" w:hAnsi="Arial"/>
                <w:sz w:val="13"/>
                <w:szCs w:val="13"/>
                <w:color w:val="auto"/>
              </w:rPr>
              <w:t>5,210</w:t>
            </w: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1,844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5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4"/>
          </w:tcPr>
          <w:p>
            <w:pPr>
              <w:jc w:val="right"/>
              <w:ind w:right="20"/>
              <w:spacing w:after="0"/>
              <w:rPr>
                <w:sz w:val="20"/>
                <w:szCs w:val="20"/>
                <w:color w:val="auto"/>
              </w:rPr>
            </w:pPr>
            <w:r>
              <w:rPr>
                <w:rFonts w:ascii="Arial" w:cs="Arial" w:eastAsia="Arial" w:hAnsi="Arial"/>
                <w:sz w:val="13"/>
                <w:szCs w:val="13"/>
                <w:color w:val="auto"/>
              </w:rPr>
              <w:t>7,054</w:t>
            </w: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7,770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500" w:type="dxa"/>
            <w:vAlign w:val="bottom"/>
            <w:gridSpan w:val="2"/>
          </w:tcPr>
          <w:p>
            <w:pPr>
              <w:ind w:left="4940"/>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business segment composition of intangible assets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 by business segments: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Arial" w:cs="Arial" w:eastAsia="Arial" w:hAnsi="Arial"/>
                <w:sz w:val="13"/>
                <w:szCs w:val="13"/>
                <w:color w:val="auto"/>
              </w:rPr>
              <w:t>AMSC Power Systems</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4,002</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5,034</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AMSC Superconductors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3,052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7,054</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7,770</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8180" w:type="dxa"/>
            <w:vAlign w:val="bottom"/>
          </w:tcPr>
          <w:p>
            <w:pPr>
              <w:ind w:left="200"/>
              <w:spacing w:after="0"/>
              <w:rPr>
                <w:sz w:val="20"/>
                <w:szCs w:val="20"/>
                <w:color w:val="auto"/>
              </w:rPr>
            </w:pPr>
            <w:r>
              <w:rPr>
                <w:rFonts w:ascii="Arial" w:cs="Arial" w:eastAsia="Arial" w:hAnsi="Arial"/>
                <w:sz w:val="13"/>
                <w:szCs w:val="13"/>
                <w:b w:val="1"/>
                <w:bCs w:val="1"/>
                <w:color w:val="auto"/>
              </w:rPr>
              <w:t>Accounts Payable and Accrued Expenses</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8180" w:type="dxa"/>
            <w:vAlign w:val="bottom"/>
          </w:tcPr>
          <w:p>
            <w:pPr>
              <w:ind w:left="280"/>
              <w:spacing w:after="0"/>
              <w:rPr>
                <w:sz w:val="20"/>
                <w:szCs w:val="20"/>
                <w:color w:val="auto"/>
              </w:rPr>
            </w:pPr>
            <w:r>
              <w:rPr>
                <w:rFonts w:ascii="Arial" w:cs="Arial" w:eastAsia="Arial" w:hAnsi="Arial"/>
                <w:sz w:val="13"/>
                <w:szCs w:val="13"/>
                <w:color w:val="auto"/>
              </w:rPr>
              <w:t>Accounts payable and accrued expenses consisted of the following (in thousands):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w w:val="95"/>
              </w:rPr>
              <w:t>40,074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33,762</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miscellaneous expenses</w:t>
            </w:r>
          </w:p>
        </w:tc>
        <w:tc>
          <w:tcPr>
            <w:tcW w:w="200" w:type="dxa"/>
            <w:vAlign w:val="bottom"/>
          </w:tcPr>
          <w:p>
            <w:pPr>
              <w:spacing w:after="0"/>
              <w:rPr>
                <w:sz w:val="13"/>
                <w:szCs w:val="13"/>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3"/>
                <w:szCs w:val="13"/>
                <w:color w:val="auto"/>
                <w:w w:val="95"/>
              </w:rPr>
              <w:t>20,981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9,047</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subcontractor program costs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1,190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5,671</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compensation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8,174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8,938</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taxes payable</w:t>
            </w:r>
          </w:p>
        </w:tc>
        <w:tc>
          <w:tcPr>
            <w:tcW w:w="2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w w:val="95"/>
              </w:rPr>
              <w:t>11,947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20,470</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warranty</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7,907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6,431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w w:val="95"/>
              </w:rPr>
              <w:t>90,273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84,319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Warranty</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generally provides a one to three year warranty on its products, commencing upon installation. A provision is recorded upon revenue recognition to cost of revenues for estimated warranty expense based on historical experience. The following is a summary of accrued warranty activity (in thousands):</w:t>
      </w:r>
    </w:p>
    <w:p>
      <w:pPr>
        <w:spacing w:after="0" w:line="61" w:lineRule="exact"/>
        <w:rPr>
          <w:sz w:val="20"/>
          <w:szCs w:val="20"/>
          <w:color w:val="auto"/>
        </w:rPr>
      </w:pPr>
    </w:p>
    <w:p>
      <w:pPr>
        <w:jc w:val="center"/>
        <w:ind w:left="7580"/>
        <w:spacing w:after="0"/>
        <w:rPr>
          <w:sz w:val="20"/>
          <w:szCs w:val="20"/>
          <w:color w:val="auto"/>
        </w:rPr>
      </w:pPr>
      <w:r>
        <w:rPr>
          <w:rFonts w:ascii="Arial" w:cs="Arial" w:eastAsia="Arial" w:hAnsi="Arial"/>
          <w:sz w:val="10"/>
          <w:szCs w:val="10"/>
          <w:b w:val="1"/>
          <w:bCs w:val="1"/>
          <w:color w:val="auto"/>
        </w:rPr>
        <w:t>For the Fiscal Years Ended</w:t>
      </w:r>
    </w:p>
    <w:p>
      <w:pPr>
        <w:spacing w:after="0" w:line="3" w:lineRule="exact"/>
        <w:rPr>
          <w:sz w:val="20"/>
          <w:szCs w:val="20"/>
          <w:color w:val="auto"/>
        </w:rPr>
      </w:pPr>
    </w:p>
    <w:p>
      <w:pPr>
        <w:jc w:val="center"/>
        <w:ind w:left="758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2011</w:t>
            </w: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6,431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Accruals for warranties during the period</w:t>
            </w: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3"/>
                <w:szCs w:val="13"/>
                <w:color w:val="auto"/>
              </w:rPr>
              <w:t>4,994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Settlements during the period</w:t>
            </w:r>
          </w:p>
        </w:tc>
        <w:tc>
          <w:tcPr>
            <w:tcW w:w="4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(3,519)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6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4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3"/>
                <w:szCs w:val="13"/>
                <w:color w:val="auto"/>
              </w:rPr>
              <w:t>7,907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6,431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40" w:type="dxa"/>
            <w:vAlign w:val="bottom"/>
          </w:tcPr>
          <w:p>
            <w:pPr>
              <w:jc w:val="right"/>
              <w:ind w:right="2674"/>
              <w:spacing w:after="0"/>
              <w:rPr>
                <w:sz w:val="20"/>
                <w:szCs w:val="20"/>
                <w:color w:val="auto"/>
              </w:rPr>
            </w:pPr>
            <w:r>
              <w:rPr>
                <w:rFonts w:ascii="Arial" w:cs="Arial" w:eastAsia="Arial" w:hAnsi="Arial"/>
                <w:sz w:val="13"/>
                <w:szCs w:val="13"/>
                <w:color w:val="auto"/>
              </w:rPr>
              <w:t>85</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(loss) before income taxes for the fiscal years ended March 31, 2011, 2010, and 2009 are provided in the table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9"/>
          </w:tcPr>
          <w:p>
            <w:pPr>
              <w:jc w:val="center"/>
              <w:ind w:right="340"/>
              <w:spacing w:after="0"/>
              <w:rPr>
                <w:sz w:val="20"/>
                <w:szCs w:val="20"/>
                <w:color w:val="auto"/>
              </w:rPr>
            </w:pPr>
            <w:r>
              <w:rPr>
                <w:rFonts w:ascii="Arial" w:cs="Arial" w:eastAsia="Arial" w:hAnsi="Arial"/>
                <w:sz w:val="10"/>
                <w:szCs w:val="10"/>
                <w:b w:val="1"/>
                <w:bCs w:val="1"/>
                <w:color w:val="auto"/>
                <w:w w:val="94"/>
              </w:rPr>
              <w:t>For the Fiscal Years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2011</w:t>
            </w: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68"/>
              <w:spacing w:after="0" w:line="98" w:lineRule="exact"/>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ind w:left="6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 expense:</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U.S.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gridSpan w:val="4"/>
          </w:tcPr>
          <w:p>
            <w:pPr>
              <w:jc w:val="right"/>
              <w:ind w:right="20"/>
              <w:spacing w:after="0"/>
              <w:rPr>
                <w:sz w:val="20"/>
                <w:szCs w:val="20"/>
                <w:color w:val="auto"/>
              </w:rPr>
            </w:pPr>
            <w:r>
              <w:rPr>
                <w:rFonts w:ascii="Arial" w:cs="Arial" w:eastAsia="Arial" w:hAnsi="Arial"/>
                <w:sz w:val="13"/>
                <w:szCs w:val="13"/>
                <w:color w:val="auto"/>
              </w:rPr>
              <w:t>(61,436)</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4"/>
          </w:tcPr>
          <w:p>
            <w:pPr>
              <w:jc w:val="right"/>
              <w:ind w:right="140"/>
              <w:spacing w:after="0"/>
              <w:rPr>
                <w:sz w:val="20"/>
                <w:szCs w:val="20"/>
                <w:color w:val="auto"/>
              </w:rPr>
            </w:pPr>
            <w:r>
              <w:rPr>
                <w:rFonts w:ascii="Arial" w:cs="Arial" w:eastAsia="Arial" w:hAnsi="Arial"/>
                <w:sz w:val="13"/>
                <w:szCs w:val="13"/>
                <w:color w:val="auto"/>
              </w:rPr>
              <w:t>(43,672)</w:t>
            </w: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0"/>
              </w:rPr>
              <w:t>(38,802)</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(108,895)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80,428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30,902</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vMerge w:val="continue"/>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gridSpan w:val="4"/>
          </w:tcPr>
          <w:p>
            <w:pPr>
              <w:jc w:val="right"/>
              <w:ind w:right="20"/>
              <w:spacing w:after="0"/>
              <w:rPr>
                <w:sz w:val="20"/>
                <w:szCs w:val="20"/>
                <w:color w:val="auto"/>
              </w:rPr>
            </w:pPr>
            <w:r>
              <w:rPr>
                <w:rFonts w:ascii="Arial" w:cs="Arial" w:eastAsia="Arial" w:hAnsi="Arial"/>
                <w:sz w:val="13"/>
                <w:szCs w:val="13"/>
                <w:color w:val="auto"/>
              </w:rPr>
              <w:t>(170,331)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4"/>
          </w:tcPr>
          <w:p>
            <w:pPr>
              <w:jc w:val="right"/>
              <w:ind w:right="180"/>
              <w:spacing w:after="0"/>
              <w:rPr>
                <w:sz w:val="20"/>
                <w:szCs w:val="20"/>
                <w:color w:val="auto"/>
              </w:rPr>
            </w:pPr>
            <w:r>
              <w:rPr>
                <w:rFonts w:ascii="Arial" w:cs="Arial" w:eastAsia="Arial" w:hAnsi="Arial"/>
                <w:sz w:val="13"/>
                <w:szCs w:val="13"/>
                <w:color w:val="auto"/>
              </w:rPr>
              <w:t>36,756</w:t>
            </w: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(7,900)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gridSpan w:val="2"/>
          </w:tcPr>
          <w:p>
            <w:pPr>
              <w:ind w:left="400"/>
              <w:spacing w:after="0"/>
              <w:rPr>
                <w:sz w:val="20"/>
                <w:szCs w:val="20"/>
                <w:color w:val="auto"/>
              </w:rPr>
            </w:pPr>
            <w:r>
              <w:rPr>
                <w:rFonts w:ascii="Arial" w:cs="Arial" w:eastAsia="Arial" w:hAnsi="Arial"/>
                <w:sz w:val="13"/>
                <w:szCs w:val="13"/>
                <w:color w:val="auto"/>
                <w:w w:val="92"/>
              </w:rPr>
              <w:t>The components of income tax expense (benefit) attributable to continuing operations consist of the following (in thousands):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8"/>
          </w:tcPr>
          <w:p>
            <w:pPr>
              <w:jc w:val="right"/>
              <w:ind w:right="80"/>
              <w:spacing w:after="0"/>
              <w:rPr>
                <w:sz w:val="20"/>
                <w:szCs w:val="20"/>
                <w:color w:val="auto"/>
              </w:rPr>
            </w:pPr>
            <w:r>
              <w:rPr>
                <w:rFonts w:ascii="Arial" w:cs="Arial" w:eastAsia="Arial" w:hAnsi="Arial"/>
                <w:sz w:val="10"/>
                <w:szCs w:val="10"/>
                <w:b w:val="1"/>
                <w:bCs w:val="1"/>
                <w:color w:val="auto"/>
                <w:w w:val="94"/>
              </w:rPr>
              <w:t>For the Fiscal Years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5"/>
              </w:rPr>
              <w:t>March 31,</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jc w:val="right"/>
              <w:ind w:right="136"/>
              <w:spacing w:after="0" w:line="98" w:lineRule="exact"/>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w w:val="98"/>
              </w:rPr>
              <w:t>2010</w:t>
            </w: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Federal</w:t>
            </w:r>
          </w:p>
        </w:tc>
        <w:tc>
          <w:tcPr>
            <w:tcW w:w="24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tcPr>
          <w:p>
            <w:pPr>
              <w:jc w:val="right"/>
              <w:ind w:right="320"/>
              <w:spacing w:after="0"/>
              <w:rPr>
                <w:sz w:val="20"/>
                <w:szCs w:val="20"/>
                <w:color w:val="auto"/>
              </w:rPr>
            </w:pPr>
            <w:r>
              <w:rPr>
                <w:rFonts w:ascii="Arial" w:cs="Arial" w:eastAsia="Arial" w:hAnsi="Arial"/>
                <w:sz w:val="13"/>
                <w:szCs w:val="13"/>
                <w:color w:val="auto"/>
                <w:w w:val="76"/>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Foreign</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4"/>
          </w:tcPr>
          <w:p>
            <w:pPr>
              <w:jc w:val="right"/>
              <w:ind w:right="48"/>
              <w:spacing w:after="0"/>
              <w:rPr>
                <w:sz w:val="20"/>
                <w:szCs w:val="20"/>
                <w:color w:val="auto"/>
              </w:rPr>
            </w:pPr>
            <w:r>
              <w:rPr>
                <w:rFonts w:ascii="Arial" w:cs="Arial" w:eastAsia="Arial" w:hAnsi="Arial"/>
                <w:sz w:val="13"/>
                <w:szCs w:val="13"/>
                <w:color w:val="auto"/>
              </w:rPr>
              <w:t>12,438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3"/>
                <w:szCs w:val="13"/>
                <w:color w:val="auto"/>
              </w:rPr>
              <w:t>23,215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8,589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current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12,438</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23,215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8,589</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Deferred</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4"/>
              </w:rPr>
              <w:t>30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3,770</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(2,742)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Total deferred</w:t>
            </w: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3,515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(2,707)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15,953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20,508</w:t>
            </w:r>
          </w:p>
        </w:tc>
        <w:tc>
          <w:tcPr>
            <w:tcW w:w="2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8,735</w:t>
            </w: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reconciliation between the statutory federal income tax rate and the Company’s effective income tax rate is shown below.</w:t>
      </w:r>
    </w:p>
    <w:p>
      <w:pPr>
        <w:spacing w:after="0" w:line="98" w:lineRule="exact"/>
        <w:rPr>
          <w:sz w:val="20"/>
          <w:szCs w:val="20"/>
          <w:color w:val="auto"/>
        </w:rPr>
      </w:pPr>
    </w:p>
    <w:p>
      <w:pPr>
        <w:jc w:val="center"/>
        <w:ind w:left="7280"/>
        <w:spacing w:after="0"/>
        <w:rPr>
          <w:sz w:val="20"/>
          <w:szCs w:val="20"/>
          <w:color w:val="auto"/>
        </w:rPr>
      </w:pPr>
      <w:r>
        <w:rPr>
          <w:rFonts w:ascii="Arial" w:cs="Arial" w:eastAsia="Arial" w:hAnsi="Arial"/>
          <w:sz w:val="10"/>
          <w:szCs w:val="10"/>
          <w:b w:val="1"/>
          <w:bCs w:val="1"/>
          <w:color w:val="auto"/>
        </w:rPr>
        <w:t>For the Fiscal Years Ended</w:t>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74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7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rate</w:t>
            </w:r>
          </w:p>
        </w:tc>
        <w:tc>
          <w:tcPr>
            <w:tcW w:w="502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(34)%</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5020" w:type="dxa"/>
            <w:vAlign w:val="bottom"/>
            <w:gridSpan w:val="3"/>
          </w:tcPr>
          <w:p>
            <w:pPr>
              <w:jc w:val="right"/>
              <w:ind w:right="700"/>
              <w:spacing w:after="0"/>
              <w:rPr>
                <w:sz w:val="20"/>
                <w:szCs w:val="20"/>
                <w:color w:val="auto"/>
              </w:rPr>
            </w:pPr>
            <w:r>
              <w:rPr>
                <w:rFonts w:ascii="Arial" w:cs="Arial" w:eastAsia="Arial" w:hAnsi="Arial"/>
                <w:sz w:val="13"/>
                <w:szCs w:val="13"/>
                <w:color w:val="auto"/>
              </w:rPr>
              <w:t>(1)</w:t>
            </w:r>
          </w:p>
        </w:tc>
        <w:tc>
          <w:tcPr>
            <w:tcW w:w="980" w:type="dxa"/>
            <w:vAlign w:val="bottom"/>
            <w:gridSpan w:val="2"/>
          </w:tcPr>
          <w:p>
            <w:pPr>
              <w:jc w:val="right"/>
              <w:ind w:right="660"/>
              <w:spacing w:after="0"/>
              <w:rPr>
                <w:sz w:val="20"/>
                <w:szCs w:val="20"/>
                <w:color w:val="auto"/>
              </w:rPr>
            </w:pPr>
            <w:r>
              <w:rPr>
                <w:rFonts w:ascii="Arial" w:cs="Arial" w:eastAsia="Arial" w:hAnsi="Arial"/>
                <w:sz w:val="13"/>
                <w:szCs w:val="13"/>
                <w:color w:val="auto"/>
              </w:rPr>
              <w:t>(6)</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State rate change</w:t>
            </w:r>
          </w:p>
        </w:tc>
        <w:tc>
          <w:tcPr>
            <w:tcW w:w="40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Foreign income tax rate differential</w:t>
            </w:r>
          </w:p>
        </w:tc>
        <w:tc>
          <w:tcPr>
            <w:tcW w:w="5020" w:type="dxa"/>
            <w:vAlign w:val="bottom"/>
            <w:gridSpan w:val="3"/>
          </w:tcPr>
          <w:p>
            <w:pPr>
              <w:jc w:val="right"/>
              <w:ind w:right="740"/>
              <w:spacing w:after="0"/>
              <w:rPr>
                <w:sz w:val="20"/>
                <w:szCs w:val="20"/>
                <w:color w:val="auto"/>
              </w:rPr>
            </w:pPr>
            <w:r>
              <w:rPr>
                <w:rFonts w:ascii="Arial" w:cs="Arial" w:eastAsia="Arial" w:hAnsi="Arial"/>
                <w:sz w:val="13"/>
                <w:szCs w:val="13"/>
                <w:color w:val="auto"/>
              </w:rPr>
              <w:t>4</w:t>
            </w:r>
          </w:p>
        </w:tc>
        <w:tc>
          <w:tcPr>
            <w:tcW w:w="980" w:type="dxa"/>
            <w:vAlign w:val="bottom"/>
            <w:gridSpan w:val="2"/>
          </w:tcPr>
          <w:p>
            <w:pPr>
              <w:jc w:val="right"/>
              <w:ind w:right="660"/>
              <w:spacing w:after="0"/>
              <w:rPr>
                <w:sz w:val="20"/>
                <w:szCs w:val="20"/>
                <w:color w:val="auto"/>
              </w:rPr>
            </w:pPr>
            <w:r>
              <w:rPr>
                <w:rFonts w:ascii="Arial" w:cs="Arial" w:eastAsia="Arial" w:hAnsi="Arial"/>
                <w:sz w:val="13"/>
                <w:szCs w:val="13"/>
                <w:color w:val="auto"/>
              </w:rPr>
              <w:t>(20)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5020" w:type="dxa"/>
            <w:vAlign w:val="bottom"/>
            <w:gridSpan w:val="3"/>
            <w:shd w:val="clear" w:color="auto" w:fill="CCEEFF"/>
          </w:tcPr>
          <w:p>
            <w:pPr>
              <w:jc w:val="right"/>
              <w:ind w:right="740"/>
              <w:spacing w:after="0"/>
              <w:rPr>
                <w:sz w:val="20"/>
                <w:szCs w:val="20"/>
                <w:color w:val="auto"/>
              </w:rPr>
            </w:pPr>
            <w:r>
              <w:rPr>
                <w:rFonts w:ascii="Arial" w:cs="Arial" w:eastAsia="Arial" w:hAnsi="Arial"/>
                <w:sz w:val="13"/>
                <w:szCs w:val="13"/>
                <w:color w:val="auto"/>
              </w:rPr>
              <w:t>1</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Nondeductible expenses</w:t>
            </w:r>
          </w:p>
        </w:tc>
        <w:tc>
          <w:tcPr>
            <w:tcW w:w="4000" w:type="dxa"/>
            <w:vAlign w:val="bottom"/>
          </w:tcPr>
          <w:p>
            <w:pPr>
              <w:spacing w:after="0"/>
              <w:rPr>
                <w:sz w:val="13"/>
                <w:szCs w:val="13"/>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700"/>
              <w:spacing w:after="0"/>
              <w:rPr>
                <w:sz w:val="20"/>
                <w:szCs w:val="20"/>
                <w:color w:val="auto"/>
              </w:rPr>
            </w:pPr>
            <w:r>
              <w:rPr>
                <w:rFonts w:ascii="Arial" w:cs="Arial" w:eastAsia="Arial" w:hAnsi="Arial"/>
                <w:sz w:val="13"/>
                <w:szCs w:val="13"/>
                <w:color w:val="auto"/>
              </w:rPr>
              <w:t>1</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credit</w:t>
            </w:r>
          </w:p>
        </w:tc>
        <w:tc>
          <w:tcPr>
            <w:tcW w:w="502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(1)</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Goodwill Impairment</w:t>
            </w:r>
          </w:p>
        </w:tc>
        <w:tc>
          <w:tcPr>
            <w:tcW w:w="5020" w:type="dxa"/>
            <w:vAlign w:val="bottom"/>
            <w:gridSpan w:val="3"/>
          </w:tcPr>
          <w:p>
            <w:pPr>
              <w:jc w:val="right"/>
              <w:ind w:right="740"/>
              <w:spacing w:after="0"/>
              <w:rPr>
                <w:sz w:val="20"/>
                <w:szCs w:val="20"/>
                <w:color w:val="auto"/>
              </w:rPr>
            </w:pPr>
            <w:r>
              <w:rPr>
                <w:rFonts w:ascii="Arial" w:cs="Arial" w:eastAsia="Arial" w:hAnsi="Arial"/>
                <w:sz w:val="13"/>
                <w:szCs w:val="13"/>
                <w:color w:val="auto"/>
              </w:rPr>
              <w:t>7</w:t>
            </w:r>
          </w:p>
        </w:tc>
        <w:tc>
          <w:tcPr>
            <w:tcW w:w="98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40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33</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4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3"/>
                <w:szCs w:val="13"/>
                <w:color w:val="auto"/>
              </w:rPr>
              <w:t>9%</w:t>
            </w:r>
          </w:p>
        </w:tc>
        <w:tc>
          <w:tcPr>
            <w:tcW w:w="980" w:type="dxa"/>
            <w:vAlign w:val="bottom"/>
            <w:gridSpan w:val="2"/>
          </w:tcPr>
          <w:p>
            <w:pPr>
              <w:jc w:val="right"/>
              <w:ind w:right="600"/>
              <w:spacing w:after="0"/>
              <w:rPr>
                <w:sz w:val="20"/>
                <w:szCs w:val="20"/>
                <w:color w:val="auto"/>
              </w:rPr>
            </w:pPr>
            <w:r>
              <w:rPr>
                <w:rFonts w:ascii="Arial" w:cs="Arial" w:eastAsia="Arial" w:hAnsi="Arial"/>
                <w:sz w:val="13"/>
                <w:szCs w:val="13"/>
                <w:color w:val="auto"/>
              </w:rPr>
              <w:t>56%</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00" w:type="dxa"/>
            <w:vAlign w:val="bottom"/>
          </w:tcPr>
          <w:p>
            <w:pPr>
              <w:jc w:val="right"/>
              <w:ind w:right="2414"/>
              <w:spacing w:after="0"/>
              <w:rPr>
                <w:sz w:val="20"/>
                <w:szCs w:val="20"/>
                <w:color w:val="auto"/>
              </w:rPr>
            </w:pPr>
            <w:r>
              <w:rPr>
                <w:rFonts w:ascii="Arial" w:cs="Arial" w:eastAsia="Arial" w:hAnsi="Arial"/>
                <w:sz w:val="13"/>
                <w:szCs w:val="13"/>
                <w:color w:val="auto"/>
              </w:rPr>
              <w:t>86</w:t>
            </w:r>
          </w:p>
        </w:tc>
        <w:tc>
          <w:tcPr>
            <w:tcW w:w="2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principal components of the Company’s deferred tax assets and liabilities (in thousands):</w:t>
      </w:r>
    </w:p>
    <w:p>
      <w:pPr>
        <w:spacing w:after="0" w:line="98"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For the Year Ended</w:t>
      </w:r>
    </w:p>
    <w:p>
      <w:pPr>
        <w:spacing w:after="0" w:line="3"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7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2011</w:t>
            </w: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194,216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176,028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and other credits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9,324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Accruals and reserves</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45,917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4,664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assets and intangibles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3,042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20,277</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9,373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272,776</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197,567</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Valuation allowance</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(220,596)</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(187,358)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52,180</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10,209</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Intangibles from acquisitions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Intercompany debt</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(33,872)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(17,720)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Fixed assets and intangibles</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(210)</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(5,946)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liabilities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(52,180)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(6,656)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Net deferred tax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3,553</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Company has provided a full valuation allowance against its net deferred income tax assets since it is more likely than not that its deferred tax assets are not currently realizable due to the net operating losses incurred by the Company since its inception and net operating losses forecasted in the future. The Company has recorded a deferred tax asset of approximately $14.9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53"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At March 31, 2011, the Company has aggregate net operating loss carryforwards in the U.S. for federal and state income tax purposes of approximately $539 million and $295 million, respectively, which expire in the years ending March 31, 2012 through 2031. Also included in the U.S. net operating losses is approximately $0.7 million and $3.7 million of acquired losses from Superconductivity, Inc. and Power Quality Systems, Inc., respectively. Of this amount, $52.3 million results from excess tax deductions from stock option exercised in 2006 through 2011. Pursuant to the guidance on accounting for stock-based compensation, the deferred tax asset relating to excess tax benefits from these exercises was not recognized for financial statement purposes. The future benefit from these deductions will be recorded as a credit to additional paid-in capital when realized. Research and development and other tax credit carryforwards amounting to approximately $7.2 million and $3.2 million are available to offset federal and state income taxes, respectively, and will expire in the fiscal years ending March 31, 2012 through 2031.</w:t>
      </w:r>
    </w:p>
    <w:p>
      <w:pPr>
        <w:spacing w:after="0" w:line="7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the year ended March 31, 2011, the Company incurred a net operating loss (“NOL”) in its Austrian operation of approximately $65 million which can be carried forward indefinitely subject to certain annual limitations and immaterial amounts of current and net operating loss carryforwards for its other foreign operations, excluding China which incurred taxable income, which can be carried forward indefinitely.</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382 of the Internal Revenue Code of 1986, as amended (the “IRC”), provides limits on the extent to which a corporation that has undergone an ownership change (as defined) can utilize any NOL and general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tax credit carryforwards it may have. The Company performed a study to determine whether Section 382 could limit the use of its carryforwards in this manner. After completing this study, the Company has concluded that the limitation will not have a material impact on its ability to utilize its net operating loss carryforwards.</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For the year ended March 31, 2011, a portion of the deferred tax liabilities created by goodwill in prior years as a result of an U.S. acquisition has been written off. As a result, a deferred tax asset has been recorded with a corresponding increase to the Company’s valuation allowance since it is more likely than not that the tax benefit from the deduction will not be realized. As a result of the impairment of goodwill, this deferred tax liability was reversed as of March 31, 2011. This deferred tax liability was approximately $0.3 million for the year ended March 31, 2010.</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estimated amount of undistributed earnings of our foreign subsidiaries is approximately $118 million at March 31, 2011. No amount for U.S. income tax has been provided on the undistributed earnings of our foreign subsidiaries because the Company considers such earnings to be permanently reinvested. In the event of distribution of those earnings in the form of dividends or otherwise, the Company would be subject to U.S. income taxes, subject to an adjustment, if any, for foreign tax credits. Determination of the amount of U.S. income tax liability that would be incurred is not practicable because of the complexities associated with this hypothetical calculation.</w:t>
      </w:r>
    </w:p>
    <w:p>
      <w:pPr>
        <w:spacing w:after="0" w:line="70"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has gross unrecognized tax benefits of approximately $0.3 million and $0.2 million at March 31, 2011 and 2010, respectively. These amounts represent the amount of unrecognized tax benefits that, if recognized, would result in a reduction of the Company’s effective tax rate.</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600" w:type="dxa"/>
            <w:vAlign w:val="bottom"/>
          </w:tcPr>
          <w:p>
            <w:pPr>
              <w:ind w:left="400"/>
              <w:spacing w:after="0"/>
              <w:rPr>
                <w:sz w:val="20"/>
                <w:szCs w:val="20"/>
                <w:color w:val="auto"/>
              </w:rPr>
            </w:pPr>
            <w:r>
              <w:rPr>
                <w:rFonts w:ascii="Arial" w:cs="Arial" w:eastAsia="Arial" w:hAnsi="Arial"/>
                <w:sz w:val="13"/>
                <w:szCs w:val="13"/>
                <w:color w:val="auto"/>
              </w:rPr>
              <w:t>A tabular roll forward of the Company’s uncertainties in income tax provision liability is presented below (in 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2009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$ 105</w:t>
            </w:r>
          </w:p>
        </w:tc>
      </w:tr>
      <w:tr>
        <w:trPr>
          <w:trHeight w:val="157"/>
        </w:trPr>
        <w:tc>
          <w:tcPr>
            <w:tcW w:w="9600" w:type="dxa"/>
            <w:vAlign w:val="bottom"/>
          </w:tcPr>
          <w:p>
            <w:pPr>
              <w:ind w:left="140"/>
              <w:spacing w:after="0"/>
              <w:rPr>
                <w:sz w:val="20"/>
                <w:szCs w:val="20"/>
                <w:color w:val="auto"/>
              </w:rPr>
            </w:pPr>
            <w:r>
              <w:rPr>
                <w:rFonts w:ascii="Arial" w:cs="Arial" w:eastAsia="Arial" w:hAnsi="Arial"/>
                <w:sz w:val="13"/>
                <w:szCs w:val="13"/>
                <w:color w:val="auto"/>
              </w:rPr>
              <w:t>Increase for tax positions related to fiscal 2009</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r>
      <w:tr>
        <w:trPr>
          <w:trHeight w:val="20"/>
        </w:trPr>
        <w:tc>
          <w:tcPr>
            <w:tcW w:w="9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w:t>
            </w:r>
          </w:p>
        </w:tc>
      </w:tr>
      <w:tr>
        <w:trPr>
          <w:trHeight w:val="157"/>
        </w:trPr>
        <w:tc>
          <w:tcPr>
            <w:tcW w:w="9600" w:type="dxa"/>
            <w:vAlign w:val="bottom"/>
          </w:tcPr>
          <w:p>
            <w:pPr>
              <w:ind w:left="140"/>
              <w:spacing w:after="0"/>
              <w:rPr>
                <w:sz w:val="20"/>
                <w:szCs w:val="20"/>
                <w:color w:val="auto"/>
              </w:rPr>
            </w:pPr>
            <w:r>
              <w:rPr>
                <w:rFonts w:ascii="Arial" w:cs="Arial" w:eastAsia="Arial" w:hAnsi="Arial"/>
                <w:sz w:val="13"/>
                <w:szCs w:val="13"/>
                <w:color w:val="auto"/>
              </w:rPr>
              <w:t>Increase for tax positions related to fiscal 2010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r>
      <w:tr>
        <w:trPr>
          <w:trHeight w:val="20"/>
        </w:trPr>
        <w:tc>
          <w:tcPr>
            <w:tcW w:w="9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$ 297</w:t>
            </w:r>
          </w:p>
        </w:tc>
      </w:tr>
      <w:tr>
        <w:trPr>
          <w:trHeight w:val="29"/>
        </w:trPr>
        <w:tc>
          <w:tcPr>
            <w:tcW w:w="9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12 months. Interest and penalties were recorded beginning in fiscal 2010 but were immaterial amounts.</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conducts business globally and, as a result, its subsidiaries file income tax returns in the U.S. federal jurisdiction and various state and foreign jurisdictions. Major tax jurisdictions include the U.S., China and Austria. All U.S. income tax filings for fiscal years ending March 31, 1995 through 2011 remain open and subject to examination and all years from calendar year 2003 through fiscal 2010 remain open and subject to examination in Austria. Tax filings in China for calendar years 2008 through 2010 will remain open and subject to examination.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Public Offering</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In November 2010, the Company issued 4,600,000 shares of common stock at a price of $35.50 per share in a public equity offering, which resulted in net proceeds to the Company of approximately $155.2 million, after deducting the underwriting costs and offering expenses of $8.1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employee stock-based compensation for the fiscal years ended March 31, 2011, 2010 and 2009 were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4"/>
              </w:rPr>
              <w:t>For the Fiscal Years Ended</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March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3,599</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Restricted stock and stock awards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7,535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6,022</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13,412</w:t>
            </w:r>
          </w:p>
        </w:tc>
        <w:tc>
          <w:tcPr>
            <w:tcW w:w="5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13,494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9,672</w:t>
            </w:r>
          </w:p>
        </w:tc>
        <w:tc>
          <w:tcPr>
            <w:tcW w:w="0" w:type="dxa"/>
            <w:vAlign w:val="bottom"/>
          </w:tcPr>
          <w:p>
            <w:pPr>
              <w:spacing w:after="0"/>
              <w:rPr>
                <w:sz w:val="1"/>
                <w:szCs w:val="1"/>
                <w:color w:val="auto"/>
              </w:rPr>
            </w:pPr>
          </w:p>
        </w:tc>
      </w:tr>
      <w:tr>
        <w:trPr>
          <w:trHeight w:val="30"/>
        </w:trPr>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289" w:lineRule="auto"/>
        <w:rPr>
          <w:sz w:val="20"/>
          <w:szCs w:val="20"/>
          <w:color w:val="auto"/>
        </w:rPr>
      </w:pPr>
      <w:r>
        <w:rPr>
          <w:rFonts w:ascii="Arial" w:cs="Arial" w:eastAsia="Arial" w:hAnsi="Arial"/>
          <w:sz w:val="12"/>
          <w:szCs w:val="12"/>
          <w:color w:val="auto"/>
        </w:rPr>
        <w:t>The estimated fair value of the Company’s stock-based awards, less expected annual forfeitures, is amortized over the awards’ service period. The total unrecognized compensation cost for unvested outstanding stock options was $10.3 million and $11.5 million for the fiscal years ended March 31, 2011 and 2010, respectively. This expense will be recognized over a weighted-average expense period of approximately 2.3 years. The total unrecognized compensation cost for unvested outstanding restricted stock was $6.3 million and $6.2 million for the fiscal years ended March 31, 2011 and 2010, respectively. This expense will be recognized over a weighted-average expense period of approximately 1.4 years.</w:t>
      </w:r>
    </w:p>
    <w:p>
      <w:pPr>
        <w:spacing w:after="0" w:line="53"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following table summarizes employee stock-based compensation expense by financial statement line item for the fiscal years ended March 31, 2011, 2010 and 2009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3"/>
              </w:rPr>
              <w:t>For the Fiscal Years Ended</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March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4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1,188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1,977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3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10,247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10,272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4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13,412</w:t>
            </w:r>
          </w:p>
        </w:tc>
        <w:tc>
          <w:tcPr>
            <w:tcW w:w="5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13,494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9,672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60" w:type="dxa"/>
            <w:vAlign w:val="bottom"/>
          </w:tcPr>
          <w:p>
            <w:pPr>
              <w:jc w:val="right"/>
              <w:ind w:right="2274"/>
              <w:spacing w:after="0"/>
              <w:rPr>
                <w:sz w:val="20"/>
                <w:szCs w:val="20"/>
                <w:color w:val="auto"/>
              </w:rPr>
            </w:pPr>
            <w:r>
              <w:rPr>
                <w:rFonts w:ascii="Arial" w:cs="Arial" w:eastAsia="Arial" w:hAnsi="Arial"/>
                <w:sz w:val="13"/>
                <w:szCs w:val="13"/>
                <w:color w:val="auto"/>
              </w:rPr>
              <w:t>89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information concerning currently outstanding and exercisable employee and non-employee options: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Weighted-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40" w:type="dxa"/>
            <w:vAlign w:val="bottom"/>
          </w:tcPr>
          <w:p>
            <w:pPr>
              <w:spacing w:after="0"/>
              <w:rPr>
                <w:sz w:val="9"/>
                <w:szCs w:val="9"/>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Intrinsic Value</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(Thousands)</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2,715,916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21.15</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Granted at fair value</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287,600</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28.73</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(567,375)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12.71</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Cancelled/Forfeited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(431,416)</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31.99</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2,004,725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22.29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9,584</w:t>
            </w:r>
          </w:p>
        </w:tc>
        <w:tc>
          <w:tcPr>
            <w:tcW w:w="0" w:type="dxa"/>
            <w:vAlign w:val="bottom"/>
          </w:tcPr>
          <w:p>
            <w:pPr>
              <w:spacing w:after="0"/>
              <w:rPr>
                <w:sz w:val="1"/>
                <w:szCs w:val="1"/>
                <w:color w:val="auto"/>
              </w:rPr>
            </w:pPr>
          </w:p>
        </w:tc>
      </w:tr>
      <w:tr>
        <w:trPr>
          <w:trHeight w:val="29"/>
        </w:trPr>
        <w:tc>
          <w:tcPr>
            <w:tcW w:w="5300" w:type="dxa"/>
            <w:vAlign w:val="bottom"/>
            <w:vMerge w:val="restart"/>
          </w:tcPr>
          <w:p>
            <w:pPr>
              <w:spacing w:after="0"/>
              <w:rPr>
                <w:sz w:val="20"/>
                <w:szCs w:val="20"/>
                <w:color w:val="auto"/>
              </w:rPr>
            </w:pPr>
            <w:r>
              <w:rPr>
                <w:rFonts w:ascii="Arial" w:cs="Arial" w:eastAsia="Arial" w:hAnsi="Arial"/>
                <w:sz w:val="13"/>
                <w:szCs w:val="13"/>
                <w:color w:val="auto"/>
              </w:rPr>
              <w:t>Exerciseable at March 31, 2011</w:t>
            </w: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6.2</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8,668</w:t>
            </w:r>
          </w:p>
        </w:tc>
        <w:tc>
          <w:tcPr>
            <w:tcW w:w="0" w:type="dxa"/>
            <w:vAlign w:val="bottom"/>
          </w:tcPr>
          <w:p>
            <w:pPr>
              <w:spacing w:after="0" w:line="20" w:lineRule="exact"/>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968,579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16.35</w:t>
            </w:r>
          </w:p>
        </w:tc>
        <w:tc>
          <w:tcPr>
            <w:tcW w:w="12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Fully vested and expected to vest at March 31,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1,911,562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21.85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9,558</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weighted-average grant-date fair value of stock option awards granted during the fiscal years ended March 31, 2011, 2010 and 2009 was $17.43 per share, $28.29 per share and $13.85 per share, respectively. Intrinsic value represents the amount by which the market price of the common stock exceeds the exercise price of the options. The aggregate intrinsic value of exercisable options at March 31, 2011, 2010 and 2009 was $8.7 million, $16.4 million and $6.4 million, respectively. The aggregate intrinsic value of options exercised at March 31, 2011, 2010 and 2009 was $13.0 million, $11.4 million and $20.5 million, respectively.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weighted average assumptions used in the Black-Scholes valuation model for stock options granted during the fiscal years ended March 31, 2011, 2010, and 2009 are as follows:</w:t>
      </w:r>
    </w:p>
    <w:p>
      <w:pPr>
        <w:spacing w:after="0" w:line="121" w:lineRule="exact"/>
        <w:rPr>
          <w:sz w:val="20"/>
          <w:szCs w:val="20"/>
          <w:color w:val="auto"/>
        </w:rPr>
      </w:pPr>
    </w:p>
    <w:p>
      <w:pPr>
        <w:jc w:val="center"/>
        <w:ind w:left="7300"/>
        <w:spacing w:after="0"/>
        <w:rPr>
          <w:sz w:val="20"/>
          <w:szCs w:val="20"/>
          <w:color w:val="auto"/>
        </w:rPr>
      </w:pPr>
      <w:r>
        <w:rPr>
          <w:rFonts w:ascii="Arial" w:cs="Arial" w:eastAsia="Arial" w:hAnsi="Arial"/>
          <w:sz w:val="10"/>
          <w:szCs w:val="10"/>
          <w:b w:val="1"/>
          <w:bCs w:val="1"/>
          <w:color w:val="auto"/>
        </w:rPr>
        <w:t>For the Fiscal Years Ended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7400" w:type="dxa"/>
            <w:vAlign w:val="bottom"/>
          </w:tcPr>
          <w:p>
            <w:pPr>
              <w:spacing w:after="0"/>
              <w:rPr>
                <w:sz w:val="8"/>
                <w:szCs w:val="8"/>
                <w:color w:val="auto"/>
              </w:rPr>
            </w:pPr>
          </w:p>
        </w:tc>
        <w:tc>
          <w:tcPr>
            <w:tcW w:w="680" w:type="dxa"/>
            <w:vAlign w:val="bottom"/>
            <w:tcBorders>
              <w:top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2011</w:t>
            </w:r>
          </w:p>
        </w:tc>
        <w:tc>
          <w:tcPr>
            <w:tcW w:w="940" w:type="dxa"/>
            <w:vAlign w:val="bottom"/>
            <w:tcBorders>
              <w:top w:val="single" w:sz="8" w:color="auto"/>
            </w:tcBorders>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2010</w:t>
            </w:r>
          </w:p>
        </w:tc>
        <w:tc>
          <w:tcPr>
            <w:tcW w:w="960" w:type="dxa"/>
            <w:vAlign w:val="bottom"/>
            <w:tcBorders>
              <w:top w:val="single" w:sz="8" w:color="auto"/>
            </w:tcBorders>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7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None</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None</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None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Expected volatility</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64.2%</w:t>
            </w:r>
          </w:p>
        </w:tc>
        <w:tc>
          <w:tcPr>
            <w:tcW w:w="940" w:type="dxa"/>
            <w:vAlign w:val="bottom"/>
            <w:gridSpan w:val="2"/>
          </w:tcPr>
          <w:p>
            <w:pPr>
              <w:jc w:val="right"/>
              <w:ind w:right="14"/>
              <w:spacing w:after="0"/>
              <w:rPr>
                <w:sz w:val="20"/>
                <w:szCs w:val="20"/>
                <w:color w:val="auto"/>
              </w:rPr>
            </w:pPr>
            <w:r>
              <w:rPr>
                <w:rFonts w:ascii="Arial" w:cs="Arial" w:eastAsia="Arial" w:hAnsi="Arial"/>
                <w:sz w:val="13"/>
                <w:szCs w:val="13"/>
                <w:color w:val="auto"/>
              </w:rPr>
              <w:t>68.9%</w:t>
            </w:r>
          </w:p>
        </w:tc>
        <w:tc>
          <w:tcPr>
            <w:tcW w:w="960" w:type="dxa"/>
            <w:vAlign w:val="bottom"/>
            <w:gridSpan w:val="2"/>
          </w:tcPr>
          <w:p>
            <w:pPr>
              <w:jc w:val="right"/>
              <w:ind w:right="14"/>
              <w:spacing w:after="0"/>
              <w:rPr>
                <w:sz w:val="20"/>
                <w:szCs w:val="20"/>
                <w:color w:val="auto"/>
              </w:rPr>
            </w:pPr>
            <w:r>
              <w:rPr>
                <w:rFonts w:ascii="Arial" w:cs="Arial" w:eastAsia="Arial" w:hAnsi="Arial"/>
                <w:sz w:val="13"/>
                <w:szCs w:val="13"/>
                <w:color w:val="auto"/>
              </w:rPr>
              <w:t>61.5%</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2.6%</w:t>
            </w:r>
          </w:p>
        </w:tc>
        <w:tc>
          <w:tcPr>
            <w:tcW w:w="9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3.0%</w:t>
            </w:r>
          </w:p>
        </w:tc>
      </w:tr>
      <w:tr>
        <w:trPr>
          <w:trHeight w:val="165"/>
        </w:trPr>
        <w:tc>
          <w:tcPr>
            <w:tcW w:w="7400" w:type="dxa"/>
            <w:vAlign w:val="bottom"/>
          </w:tcPr>
          <w:p>
            <w:pPr>
              <w:spacing w:after="0"/>
              <w:rPr>
                <w:sz w:val="20"/>
                <w:szCs w:val="20"/>
                <w:color w:val="auto"/>
              </w:rPr>
            </w:pPr>
            <w:r>
              <w:rPr>
                <w:rFonts w:ascii="Arial" w:cs="Arial" w:eastAsia="Arial" w:hAnsi="Arial"/>
                <w:sz w:val="13"/>
                <w:szCs w:val="13"/>
                <w:color w:val="auto"/>
              </w:rPr>
              <w:t>Expected life (years)</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5.8</w:t>
            </w:r>
          </w:p>
        </w:tc>
        <w:tc>
          <w:tcPr>
            <w:tcW w:w="940" w:type="dxa"/>
            <w:vAlign w:val="bottom"/>
            <w:gridSpan w:val="2"/>
          </w:tcPr>
          <w:p>
            <w:pPr>
              <w:jc w:val="right"/>
              <w:ind w:right="114"/>
              <w:spacing w:after="0"/>
              <w:rPr>
                <w:sz w:val="20"/>
                <w:szCs w:val="20"/>
                <w:color w:val="auto"/>
              </w:rPr>
            </w:pPr>
            <w:r>
              <w:rPr>
                <w:rFonts w:ascii="Arial" w:cs="Arial" w:eastAsia="Arial" w:hAnsi="Arial"/>
                <w:sz w:val="13"/>
                <w:szCs w:val="13"/>
                <w:color w:val="auto"/>
              </w:rPr>
              <w:t>5.6</w:t>
            </w:r>
          </w:p>
        </w:tc>
        <w:tc>
          <w:tcPr>
            <w:tcW w:w="960" w:type="dxa"/>
            <w:vAlign w:val="bottom"/>
            <w:gridSpan w:val="2"/>
          </w:tcPr>
          <w:p>
            <w:pPr>
              <w:jc w:val="right"/>
              <w:ind w:right="134"/>
              <w:spacing w:after="0"/>
              <w:rPr>
                <w:sz w:val="20"/>
                <w:szCs w:val="20"/>
                <w:color w:val="auto"/>
              </w:rPr>
            </w:pPr>
            <w:r>
              <w:rPr>
                <w:rFonts w:ascii="Arial" w:cs="Arial" w:eastAsia="Arial" w:hAnsi="Arial"/>
                <w:sz w:val="13"/>
                <w:szCs w:val="13"/>
                <w:color w:val="auto"/>
              </w:rPr>
              <w:t>4.9</w:t>
            </w:r>
          </w:p>
        </w:tc>
      </w:tr>
    </w:tbl>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employee and non-employee restricted stock activity for the fiscal year ended March 31, 2011: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Weighted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Grant Date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(Thousands)</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2010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508,374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356,625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29.29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(180,337)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26.37</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(58,135)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30.29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2011</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626,527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15,581</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total fair value of restricted stock that was granted during the fiscal years ended March 31, 2011, 2010 and 2009 was $10.4 million, $6.8 million and $12.0 million,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total fair value of restricted stock that vested during the fiscal years ended March 31, 2011, 2010 and 2009 was $5.5 million, $8.4 million and $1.8 million, respectively.</w:t>
      </w:r>
    </w:p>
    <w:p>
      <w:pPr>
        <w:spacing w:after="0" w:line="8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restricted stock granted during the fiscal year ended March 31, 2011 includes approximately 105,950 shares of performance-based restricted stock, which would vest upon achievement of certain financial performance measurements. At March 31, 2011, the Company determined that the performance measures were not met. As a result, the Company reversed $1.8 million that had been recorded as stock-based compensation expense related to performance-based awards. Such shares were cancelled in May 2011. Included in the table above is 8,000 shares of restricted units.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remaining shares granted vest upon the passage of time. For awards that vest upon the passage of time, expense is being recorded over the vesting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 Plans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of March 31, 2011, the Company had two active stock plans: the 2007 Stock Incentive Plan (the “2007 Plan”) and the 2007 Director Stock Option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Plans provide for the issuance of restricted stock,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contractual life of options is generally 10 years. Options generally vest over a 3-5 year period while restricted stock generally vests over a 2-5 year period. The 2007 Director Plan is for members of the Board of Directors who are not also employees of the Company (outside directors). Under an amendment to the 2007 Director Plan effective April, 2009, outside directors are entitled to receive an annual award of 3,000 fully-vested shares of common stock.</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2011, the 2007 Plan had 3,339,884 shares and the 2007 Director Plan had 226,000 shares available for future issuance.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each of the fiscal years ended March 31, 2011, 2010, and 2009, respectively, related to the ESPP. The Company issued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26,223 shares of common stock related to the ESPP during the year ended March 31, 2011. As of March 31, 2011, the ESPP had 527,757 shares available for future issuance.</w:t>
      </w:r>
    </w:p>
    <w:p>
      <w:pPr>
        <w:spacing w:after="0" w:line="182"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Purchase Commitments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During fiscal year ended March 31, 2011, the Company recorded losses of $38.8 million to cost of revenues as a result of commitments to purchase materials that were in excess of its estimated future demand from certain of its customers in China.</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Lease Commitments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Operating leases include minimum payments under leases for our facilities and certain equipment, see Item 2, “Properties.” The Company’s primary leased facilities are located in Middleton and New Berlin, Wisconsin; Suzhou and Beijing, China; and Klagenfurt, Austria with a combined total of approximately 341,000 square feet of space. These leases have varying expiration dates between August 2011 and February 2016 which can generally be terminated at our request after a six month advance notice. The Company leases other locations which focus primarily on applications engineering, sales and/or field service and do not have significant leases or physical presence.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Minimum future lease commitments at March 31, 2011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400" w:type="dxa"/>
            <w:vAlign w:val="bottom"/>
            <w:gridSpan w:val="2"/>
          </w:tcPr>
          <w:p>
            <w:pPr>
              <w:spacing w:after="0"/>
              <w:rPr>
                <w:sz w:val="20"/>
                <w:szCs w:val="20"/>
                <w:color w:val="auto"/>
              </w:rPr>
            </w:pPr>
            <w:r>
              <w:rPr>
                <w:rFonts w:ascii="Arial" w:cs="Arial" w:eastAsia="Arial" w:hAnsi="Arial"/>
                <w:sz w:val="10"/>
                <w:szCs w:val="10"/>
                <w:b w:val="1"/>
                <w:bCs w:val="1"/>
                <w:color w:val="auto"/>
              </w:rPr>
              <w:t>For the Fiscal Years Ended March 31,</w:t>
            </w:r>
          </w:p>
        </w:tc>
        <w:tc>
          <w:tcPr>
            <w:tcW w:w="10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29"/>
        </w:trPr>
        <w:tc>
          <w:tcPr>
            <w:tcW w:w="100" w:type="dxa"/>
            <w:vAlign w:val="bottom"/>
            <w:tcBorders>
              <w:top w:val="single" w:sz="8" w:color="auto"/>
            </w:tcBorders>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2,607</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1,471</w:t>
            </w: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1,114</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708</w:t>
            </w: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694</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r>
      <w:tr>
        <w:trPr>
          <w:trHeight w:val="20"/>
        </w:trPr>
        <w:tc>
          <w:tcPr>
            <w:tcW w:w="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6,864</w:t>
            </w:r>
          </w:p>
        </w:tc>
      </w:tr>
      <w:tr>
        <w:trPr>
          <w:trHeight w:val="29"/>
        </w:trPr>
        <w:tc>
          <w:tcPr>
            <w:tcW w:w="10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under the operating leases mentioned above was as follows (in thousands):</w:t>
      </w:r>
    </w:p>
    <w:p>
      <w:pPr>
        <w:spacing w:after="0" w:line="98" w:lineRule="exact"/>
        <w:rPr>
          <w:sz w:val="20"/>
          <w:szCs w:val="20"/>
          <w:color w:val="auto"/>
        </w:rPr>
      </w:pPr>
    </w:p>
    <w:p>
      <w:pPr>
        <w:jc w:val="center"/>
        <w:ind w:left="7260"/>
        <w:spacing w:after="0"/>
        <w:rPr>
          <w:sz w:val="20"/>
          <w:szCs w:val="20"/>
          <w:color w:val="auto"/>
        </w:rPr>
      </w:pPr>
      <w:r>
        <w:rPr>
          <w:rFonts w:ascii="Arial" w:cs="Arial" w:eastAsia="Arial" w:hAnsi="Arial"/>
          <w:sz w:val="10"/>
          <w:szCs w:val="10"/>
          <w:b w:val="1"/>
          <w:bCs w:val="1"/>
          <w:color w:val="auto"/>
        </w:rPr>
        <w:t>For the Fiscal Years Ended</w:t>
      </w:r>
    </w:p>
    <w:p>
      <w:pPr>
        <w:spacing w:after="0" w:line="3" w:lineRule="exact"/>
        <w:rPr>
          <w:sz w:val="20"/>
          <w:szCs w:val="20"/>
          <w:color w:val="auto"/>
        </w:rPr>
      </w:pPr>
    </w:p>
    <w:p>
      <w:pPr>
        <w:jc w:val="center"/>
        <w:ind w:left="726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738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2009</w:t>
            </w:r>
          </w:p>
        </w:tc>
      </w:tr>
      <w:tr>
        <w:trPr>
          <w:trHeight w:val="185"/>
        </w:trPr>
        <w:tc>
          <w:tcPr>
            <w:tcW w:w="7380" w:type="dxa"/>
            <w:vAlign w:val="bottom"/>
          </w:tcPr>
          <w:p>
            <w:pPr>
              <w:spacing w:after="0"/>
              <w:rPr>
                <w:sz w:val="20"/>
                <w:szCs w:val="20"/>
                <w:color w:val="auto"/>
              </w:rPr>
            </w:pPr>
            <w:r>
              <w:rPr>
                <w:rFonts w:ascii="Arial" w:cs="Arial" w:eastAsia="Arial" w:hAnsi="Arial"/>
                <w:sz w:val="13"/>
                <w:szCs w:val="13"/>
                <w:color w:val="auto"/>
              </w:rPr>
              <w:t>Rent expense</w:t>
            </w:r>
          </w:p>
        </w:tc>
        <w:tc>
          <w:tcPr>
            <w:tcW w:w="680" w:type="dxa"/>
            <w:vAlign w:val="bottom"/>
          </w:tcPr>
          <w:p>
            <w:pPr>
              <w:jc w:val="right"/>
              <w:ind w:right="121"/>
              <w:spacing w:after="0"/>
              <w:rPr>
                <w:sz w:val="20"/>
                <w:szCs w:val="20"/>
                <w:color w:val="auto"/>
              </w:rPr>
            </w:pPr>
            <w:r>
              <w:rPr>
                <w:rFonts w:ascii="Arial" w:cs="Arial" w:eastAsia="Arial" w:hAnsi="Arial"/>
                <w:sz w:val="13"/>
                <w:szCs w:val="13"/>
                <w:color w:val="auto"/>
              </w:rPr>
              <w:t>$2,947</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$2,153</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$1,777</w:t>
            </w: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loss is not probable or cannot be reasonably estimated, a liability is not recorded in its consolidated financial statements.</w:t>
      </w:r>
    </w:p>
    <w:p>
      <w:pPr>
        <w:spacing w:after="0" w:line="96" w:lineRule="exact"/>
        <w:rPr>
          <w:sz w:val="20"/>
          <w:szCs w:val="20"/>
          <w:color w:val="auto"/>
        </w:rPr>
      </w:pPr>
    </w:p>
    <w:p>
      <w:pPr>
        <w:jc w:val="both"/>
        <w:ind w:left="680" w:firstLine="399"/>
        <w:spacing w:after="0" w:line="305" w:lineRule="auto"/>
        <w:rPr>
          <w:sz w:val="20"/>
          <w:szCs w:val="20"/>
          <w:color w:val="auto"/>
        </w:rPr>
      </w:pPr>
      <w:r>
        <w:rPr>
          <w:rFonts w:ascii="Arial" w:cs="Arial" w:eastAsia="Arial" w:hAnsi="Arial"/>
          <w:sz w:val="11"/>
          <w:szCs w:val="11"/>
          <w:color w:val="auto"/>
        </w:rPr>
        <w:t xml:space="preserve">Between April 6, 2011 and April 29, 2011, six putative securities class action complaints were filed against the Company and two of its officers in the United States District Court for the District of Massachusetts. On May 12, 2011, an additional complaint was filed against the Company, its officers and directors, and the underwriters who participated in the Company’s November 12, 2010 securities offering. On June 7, 2011, the United States District Court for the District of Massachusetts consolidated these actions under the caption </w:t>
      </w:r>
      <w:r>
        <w:rPr>
          <w:rFonts w:ascii="Arial" w:cs="Arial" w:eastAsia="Arial" w:hAnsi="Arial"/>
          <w:sz w:val="11"/>
          <w:szCs w:val="11"/>
          <w:i w:val="1"/>
          <w:iCs w:val="1"/>
          <w:color w:val="auto"/>
        </w:rPr>
        <w:t>Lenartz v. American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Superconductor Corporation, et al. </w:t>
      </w:r>
      <w:r>
        <w:rPr>
          <w:rFonts w:ascii="Arial" w:cs="Arial" w:eastAsia="Arial" w:hAnsi="Arial"/>
          <w:sz w:val="11"/>
          <w:szCs w:val="11"/>
          <w:color w:val="auto"/>
        </w:rPr>
        <w:t>Docket No. 1:11-cv-10582-WGY. On June 16, 2011, the court appointed the law firm Robbins Geller Rudman &amp; Dowd LLP as Lead Counsel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Plumbers and Pipefitters National Pension Fund as Lead Plaintiff. On August 31, 2011, the Lead Plaintiff filed a consolidated amended complaint against the Company, its officers and directors, and the underwriters who participated in the Company’s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the Company and its officers omitted to state material facts and made materially false and misleading statements relating to, among other things, the Company’s projected and recognized revenues and earnings, as well as the Company’s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w:t>
      </w:r>
    </w:p>
    <w:p>
      <w:pPr>
        <w:spacing w:after="0" w:line="5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2"/>
          <w:szCs w:val="12"/>
          <w:color w:val="auto"/>
        </w:rPr>
        <w:t xml:space="preserve">On April 27, 2011, a putative shareholder derivative complaint was filed against the Company (as a nominal defendant) and each of its current directors in Superior Court for the Commonwealth of Massachusetts, Worcester County. The case is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11-0787. Between May 4, 2011 and June 17, 2011, four additional putative shareholder derivative complaints were filed in the United States District Court for the District of Massachusetts against the Company and certain of its directors and officers. The cases are captioned </w:t>
      </w:r>
      <w:r>
        <w:rPr>
          <w:rFonts w:ascii="Arial" w:cs="Arial" w:eastAsia="Arial" w:hAnsi="Arial"/>
          <w:sz w:val="12"/>
          <w:szCs w:val="12"/>
          <w:i w:val="1"/>
          <w:iCs w:val="1"/>
          <w:color w:val="auto"/>
        </w:rPr>
        <w:t>Weakley v. Yurek, et al.</w:t>
      </w:r>
      <w:r>
        <w:rPr>
          <w:rFonts w:ascii="Arial" w:cs="Arial" w:eastAsia="Arial" w:hAnsi="Arial"/>
          <w:sz w:val="12"/>
          <w:szCs w:val="12"/>
          <w:color w:val="auto"/>
        </w:rPr>
        <w:t xml:space="preserve">, Docket No. 1:11-cv-10784;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xml:space="preserve">, Docket No. 1:11-cv-10825; </w:t>
      </w:r>
      <w:r>
        <w:rPr>
          <w:rFonts w:ascii="Arial" w:cs="Arial" w:eastAsia="Arial" w:hAnsi="Arial"/>
          <w:sz w:val="12"/>
          <w:szCs w:val="12"/>
          <w:i w:val="1"/>
          <w:iCs w:val="1"/>
          <w:color w:val="auto"/>
        </w:rPr>
        <w:t>Connors v. Yurek, et al.</w:t>
      </w:r>
      <w:r>
        <w:rPr>
          <w:rFonts w:ascii="Arial" w:cs="Arial" w:eastAsia="Arial" w:hAnsi="Arial"/>
          <w:sz w:val="12"/>
          <w:szCs w:val="12"/>
          <w:color w:val="auto"/>
        </w:rPr>
        <w:t xml:space="preserve">, Docket No. 1:11-cv-10910; and </w:t>
      </w:r>
      <w:r>
        <w:rPr>
          <w:rFonts w:ascii="Arial" w:cs="Arial" w:eastAsia="Arial" w:hAnsi="Arial"/>
          <w:sz w:val="12"/>
          <w:szCs w:val="12"/>
          <w:i w:val="1"/>
          <w:iCs w:val="1"/>
          <w:color w:val="auto"/>
        </w:rPr>
        <w:t>Hurd v. Yurek, et al.</w:t>
      </w:r>
      <w:r>
        <w:rPr>
          <w:rFonts w:ascii="Arial" w:cs="Arial" w:eastAsia="Arial" w:hAnsi="Arial"/>
          <w:sz w:val="12"/>
          <w:szCs w:val="12"/>
          <w:color w:val="auto"/>
        </w:rPr>
        <w:t xml:space="preserve">, Docket No. 1:11-cv-11102. On June 1, 2011, the plaintiff in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xml:space="preserve"> moved to voluntarily dismiss its complaint and refiled its complaint in Superior Court for the Commonwealth of Massachusetts, Middlesex County, on June 3, 2011. The case is now captioned </w:t>
      </w:r>
      <w:r>
        <w:rPr>
          <w:rFonts w:ascii="Arial" w:cs="Arial" w:eastAsia="Arial" w:hAnsi="Arial"/>
          <w:sz w:val="12"/>
          <w:szCs w:val="12"/>
          <w:i w:val="1"/>
          <w:iCs w:val="1"/>
          <w:color w:val="auto"/>
        </w:rPr>
        <w:t>Marlborough Family</w:t>
      </w:r>
      <w:r>
        <w:rPr>
          <w:rFonts w:ascii="Arial" w:cs="Arial" w:eastAsia="Arial" w:hAnsi="Arial"/>
          <w:sz w:val="12"/>
          <w:szCs w:val="12"/>
          <w:color w:val="auto"/>
        </w:rPr>
        <w:t xml:space="preserve"> </w:t>
      </w:r>
      <w:r>
        <w:rPr>
          <w:rFonts w:ascii="Arial" w:cs="Arial" w:eastAsia="Arial" w:hAnsi="Arial"/>
          <w:sz w:val="12"/>
          <w:szCs w:val="12"/>
          <w:i w:val="1"/>
          <w:iCs w:val="1"/>
          <w:color w:val="auto"/>
        </w:rPr>
        <w:t>Revocable Trust v. Yurek, et al.</w:t>
      </w:r>
      <w:r>
        <w:rPr>
          <w:rFonts w:ascii="Arial" w:cs="Arial" w:eastAsia="Arial" w:hAnsi="Arial"/>
          <w:sz w:val="12"/>
          <w:szCs w:val="12"/>
          <w:color w:val="auto"/>
        </w:rPr>
        <w:t>, Docket No. 11-1961. The Superior Court in Worcester County granted the plaintiff’s motion to transfer in</w:t>
      </w:r>
      <w:r>
        <w:rPr>
          <w:rFonts w:ascii="Arial" w:cs="Arial" w:eastAsia="Arial" w:hAnsi="Arial"/>
          <w:sz w:val="12"/>
          <w:szCs w:val="12"/>
          <w:i w:val="1"/>
          <w:iCs w:val="1"/>
          <w:color w:val="auto"/>
        </w:rPr>
        <w:t xml:space="preserve"> Segel v. Yurek et al. </w:t>
      </w:r>
      <w:r>
        <w:rPr>
          <w:rFonts w:ascii="Arial" w:cs="Arial" w:eastAsia="Arial" w:hAnsi="Arial"/>
          <w:sz w:val="12"/>
          <w:szCs w:val="12"/>
          <w:color w:val="auto"/>
        </w:rPr>
        <w:t>to the Superior Court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Commonwealth of Massachusetts, Middlesex County on June 23, 2011, and that matter is now captioned </w:t>
      </w:r>
      <w:r>
        <w:rPr>
          <w:rFonts w:ascii="Arial" w:cs="Arial" w:eastAsia="Arial" w:hAnsi="Arial"/>
          <w:sz w:val="12"/>
          <w:szCs w:val="12"/>
          <w:i w:val="1"/>
          <w:iCs w:val="1"/>
          <w:color w:val="auto"/>
        </w:rPr>
        <w:t>Segel v. Yurek et al</w:t>
      </w:r>
      <w:r>
        <w:rPr>
          <w:rFonts w:ascii="Arial" w:cs="Arial" w:eastAsia="Arial" w:hAnsi="Arial"/>
          <w:sz w:val="12"/>
          <w:szCs w:val="12"/>
          <w:color w:val="auto"/>
        </w:rPr>
        <w:t xml:space="preserve">., Docket No. 11-2269. On July 5, 2011, the </w:t>
      </w:r>
      <w:r>
        <w:rPr>
          <w:rFonts w:ascii="Arial" w:cs="Arial" w:eastAsia="Arial" w:hAnsi="Arial"/>
          <w:sz w:val="12"/>
          <w:szCs w:val="12"/>
          <w:i w:val="1"/>
          <w:iCs w:val="1"/>
          <w:color w:val="auto"/>
        </w:rPr>
        <w:t>Weakley</w:t>
      </w:r>
      <w:r>
        <w:rPr>
          <w:rFonts w:ascii="Arial" w:cs="Arial" w:eastAsia="Arial" w:hAnsi="Arial"/>
          <w:sz w:val="12"/>
          <w:szCs w:val="12"/>
          <w:color w:val="auto"/>
        </w:rPr>
        <w:t xml:space="preserve">, </w:t>
      </w:r>
      <w:r>
        <w:rPr>
          <w:rFonts w:ascii="Arial" w:cs="Arial" w:eastAsia="Arial" w:hAnsi="Arial"/>
          <w:sz w:val="12"/>
          <w:szCs w:val="12"/>
          <w:i w:val="1"/>
          <w:iCs w:val="1"/>
          <w:color w:val="auto"/>
        </w:rPr>
        <w:t>Connors</w:t>
      </w:r>
      <w:r>
        <w:rPr>
          <w:rFonts w:ascii="Arial" w:cs="Arial" w:eastAsia="Arial" w:hAnsi="Arial"/>
          <w:sz w:val="12"/>
          <w:szCs w:val="12"/>
          <w:color w:val="auto"/>
        </w:rPr>
        <w:t xml:space="preserve"> and </w:t>
      </w:r>
      <w:r>
        <w:rPr>
          <w:rFonts w:ascii="Arial" w:cs="Arial" w:eastAsia="Arial" w:hAnsi="Arial"/>
          <w:sz w:val="12"/>
          <w:szCs w:val="12"/>
          <w:i w:val="1"/>
          <w:iCs w:val="1"/>
          <w:color w:val="auto"/>
        </w:rPr>
        <w:t>Hurd</w:t>
      </w:r>
      <w:r>
        <w:rPr>
          <w:rFonts w:ascii="Arial" w:cs="Arial" w:eastAsia="Arial" w:hAnsi="Arial"/>
          <w:sz w:val="12"/>
          <w:szCs w:val="12"/>
          <w:color w:val="auto"/>
        </w:rPr>
        <w:t xml:space="preserve"> actions were consolidated in United States District Court for the District of Massachusetts. That matter is now captioned </w:t>
      </w:r>
      <w:r>
        <w:rPr>
          <w:rFonts w:ascii="Arial" w:cs="Arial" w:eastAsia="Arial" w:hAnsi="Arial"/>
          <w:sz w:val="12"/>
          <w:szCs w:val="12"/>
          <w:i w:val="1"/>
          <w:iCs w:val="1"/>
          <w:color w:val="auto"/>
        </w:rPr>
        <w:t>In re American Superconductor Corporation Derivative</w:t>
      </w:r>
      <w:r>
        <w:rPr>
          <w:rFonts w:ascii="Arial" w:cs="Arial" w:eastAsia="Arial" w:hAnsi="Arial"/>
          <w:sz w:val="12"/>
          <w:szCs w:val="12"/>
          <w:color w:val="auto"/>
        </w:rPr>
        <w:t xml:space="preserve"> </w:t>
      </w:r>
      <w:r>
        <w:rPr>
          <w:rFonts w:ascii="Arial" w:cs="Arial" w:eastAsia="Arial" w:hAnsi="Arial"/>
          <w:sz w:val="12"/>
          <w:szCs w:val="12"/>
          <w:i w:val="1"/>
          <w:iCs w:val="1"/>
          <w:color w:val="auto"/>
        </w:rPr>
        <w:t>Litigation</w:t>
      </w:r>
      <w:r>
        <w:rPr>
          <w:rFonts w:ascii="Arial" w:cs="Arial" w:eastAsia="Arial" w:hAnsi="Arial"/>
          <w:sz w:val="12"/>
          <w:szCs w:val="12"/>
          <w:color w:val="auto"/>
        </w:rPr>
        <w:t>, Docket No. 1:11-cv-10784. On June 1, 2011, the plaintiff in</w:t>
      </w:r>
      <w:r>
        <w:rPr>
          <w:rFonts w:ascii="Arial" w:cs="Arial" w:eastAsia="Arial" w:hAnsi="Arial"/>
          <w:sz w:val="12"/>
          <w:szCs w:val="12"/>
          <w:i w:val="1"/>
          <w:iCs w:val="1"/>
          <w:color w:val="auto"/>
        </w:rPr>
        <w:t xml:space="preserve"> Marlborough Family Revocable Trust v. Yurek, et al. </w:t>
      </w:r>
      <w:r>
        <w:rPr>
          <w:rFonts w:ascii="Arial" w:cs="Arial" w:eastAsia="Arial" w:hAnsi="Arial"/>
          <w:sz w:val="12"/>
          <w:szCs w:val="12"/>
          <w:color w:val="auto"/>
        </w:rPr>
        <w:t>moved to voluntarily dismiss its complaint and, on June 3, 2011,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refiled its complaint in Superior Court for the Commonwealth of Massachusetts, Middlesex County. The Superior Court in Worcester County granted the plaintiff’s motion to transfer in </w:t>
      </w:r>
      <w:r>
        <w:rPr>
          <w:rFonts w:ascii="Arial" w:cs="Arial" w:eastAsia="Arial" w:hAnsi="Arial"/>
          <w:sz w:val="12"/>
          <w:szCs w:val="12"/>
          <w:i w:val="1"/>
          <w:iCs w:val="1"/>
          <w:color w:val="auto"/>
        </w:rPr>
        <w:t xml:space="preserve">Segel v. Yurek et al. </w:t>
      </w:r>
      <w:r>
        <w:rPr>
          <w:rFonts w:ascii="Arial" w:cs="Arial" w:eastAsia="Arial" w:hAnsi="Arial"/>
          <w:sz w:val="12"/>
          <w:szCs w:val="12"/>
          <w:color w:val="auto"/>
        </w:rPr>
        <w:t>to the Superior Court for the Commonwealth of Massachusetts, Middlesex County on June 23, 2011. On September 7, 2011, the</w:t>
      </w:r>
      <w:r>
        <w:rPr>
          <w:rFonts w:ascii="Arial" w:cs="Arial" w:eastAsia="Arial" w:hAnsi="Arial"/>
          <w:sz w:val="12"/>
          <w:szCs w:val="12"/>
          <w:i w:val="1"/>
          <w:iCs w:val="1"/>
          <w:color w:val="auto"/>
        </w:rPr>
        <w:t xml:space="preserve"> Marlborough </w:t>
      </w:r>
      <w:r>
        <w:rPr>
          <w:rFonts w:ascii="Arial" w:cs="Arial" w:eastAsia="Arial" w:hAnsi="Arial"/>
          <w:sz w:val="12"/>
          <w:szCs w:val="12"/>
          <w:color w:val="auto"/>
        </w:rPr>
        <w:t>and</w:t>
      </w:r>
      <w:r>
        <w:rPr>
          <w:rFonts w:ascii="Arial" w:cs="Arial" w:eastAsia="Arial" w:hAnsi="Arial"/>
          <w:sz w:val="12"/>
          <w:szCs w:val="12"/>
          <w:i w:val="1"/>
          <w:iCs w:val="1"/>
          <w:color w:val="auto"/>
        </w:rPr>
        <w:t xml:space="preserve"> Segel </w:t>
      </w:r>
      <w:r>
        <w:rPr>
          <w:rFonts w:ascii="Arial" w:cs="Arial" w:eastAsia="Arial" w:hAnsi="Arial"/>
          <w:sz w:val="12"/>
          <w:szCs w:val="12"/>
          <w:color w:val="auto"/>
        </w:rPr>
        <w:t>actions were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consolidated in Superior Court for the Commonwealth of Massachusetts, Middlesex County. The case is now captioned </w:t>
      </w:r>
      <w:r>
        <w:rPr>
          <w:rFonts w:ascii="Arial" w:cs="Arial" w:eastAsia="Arial" w:hAnsi="Arial"/>
          <w:sz w:val="12"/>
          <w:szCs w:val="12"/>
          <w:i w:val="1"/>
          <w:iCs w:val="1"/>
          <w:color w:val="auto"/>
        </w:rPr>
        <w:t>Marlborough Family Revocable Trust v. Yurek, et al.</w:t>
      </w:r>
      <w:r>
        <w:rPr>
          <w:rFonts w:ascii="Arial" w:cs="Arial" w:eastAsia="Arial" w:hAnsi="Arial"/>
          <w:sz w:val="12"/>
          <w:szCs w:val="12"/>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the Company, as well as an award of costs and expenses, including attorney’s fees.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If a matter is both probable to result in liability and the amounts of loss can be reasonably estimated, the Company estimates and discloses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72"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On September 13, 2011, the Company commenced a series of legal actions in China against Sinovel Wind Group Co. Ltd. (“Sinovel”). The Company’s Chinese subsidiary, Suzhou AMSC Superconductor Co. Ltd. (“AMSC China”), filed a claim for arbitration with the Beijing Arbitration Commission in accordance with the terms of the Company’s supply contracts with Sinovel.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the Company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(including interest) and monetary damages due to Sinovel’s breaches of its contracts. The Company is also seeking specific performance of our existing contracts as well as reimbursement of all costs and reasonable expenses with respect to the arbitration.</w:t>
      </w:r>
    </w:p>
    <w:p>
      <w:pPr>
        <w:spacing w:after="0" w:line="58"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The Company also submitted a civil action application to the Beijing No. 1 Intermediate People’s Court against Sinovel for software copyright infringement. The application alleges Sinovel’s unauthorized use of portions of the Company’s wind turbine control software source code developed for Sinovel’s 1.5MW wind turbines and the binary code, or upper layer, of the Company’s software for the PM3000 power converters in 1.5MW wind turbines. In July 2011, a former employee of the Company’s AMSC Windtec GmbH subsidiary was arrested in Austria and is currently awaiting trial on charges of economic espionage and fraudulent manipulation of data.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that the former employee illegally used source code to develop for Sinovel a software modification to circumvent the encryption and remove technical protection measures on the PM3000 power converters in 1.5MW wind turbines in the field. The Company is seeking a cease and desist order with respect to the unauthorized copying, installation and use of its software, monetary damages for our economic losses and reimbursement of all costs and reasonable expenses. The court must accept the application in order for the case to proceed, and there can be no assurance that the court will do so.</w:t>
      </w:r>
    </w:p>
    <w:p>
      <w:pPr>
        <w:spacing w:after="0" w:line="6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submitted a civil action application to the Beijing Higher People’s Court against Sinovel and certain of its employees for trade secret infringement. The application alleges the defendants’ unauthorized use of portions of the Company’s wind turbine control software source code developed for Sinovel’s 1.5MW wind turbines as described above with respect to the Copyright Action. The Company is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September 16, 2011, the Company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the Company’s PM1000 converters in certain Sinovel wind turbines have been replaced by converters produced by Guotong. Because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Guotong converters are being used in wind turbines containing its wind turbine control software, the Company believes that its copyrighted software is being infringed. The Company is seeking a cease and desist order with respect to the unauthorized use of its software, monetary damages for its economic losses (with respect to Guotong only) and reimbursement of all costs and reasonable expenses.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As of March 31, 2011, the Company had nine performance bonds on behalf of AMSC Windtec and its wholly-owned Chinese subsidiary, Suzhou AMSC Superconductor Co. Ltd (“AMSC China”), in support of customer contracts to guarantee supply of core components and software. The total value of the outstanding performance bonds is $2.6 million and they expire between July 2011 and March 2014. In the event that the payment is made in accordance with the requirements of any of these performance bonds, the Company would record the payment as an offset to revenue.</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At March 31, 2011 and 2010, the Company had $5.6 million and $5.7 million, respectively, of restricted cash included in current assets, which includes the restricted cash securing letters of credit for various supply contracts. The Company also had an additional $10.3 million and $1.8 million in bank guarantees and letters of credit supported by unsecured lines of credit, at March 31, 2011 and 2010, respectively.</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had unused, unsecured lines of credit consisting of $17.5 million (approximately RMB 114.8 million) in China and $2.3 million (approximately €1.6 million) in Austria as of March 31, 2011. In July 2011, the Bank of China informed the Company that its unsecured credit line of approximately RMB 100.0 million (approximately $15.2 million), which expired in August 2011, would not be renewed.</w:t>
      </w:r>
    </w:p>
    <w:p>
      <w:pPr>
        <w:spacing w:after="0" w:line="142" w:lineRule="exact"/>
        <w:rPr>
          <w:sz w:val="20"/>
          <w:szCs w:val="20"/>
          <w:color w:val="auto"/>
        </w:rPr>
      </w:pPr>
    </w:p>
    <w:p>
      <w:pPr>
        <w:ind w:left="1180" w:hanging="493"/>
        <w:spacing w:after="0"/>
        <w:tabs>
          <w:tab w:leader="none" w:pos="11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has implemented a deferred compensation plan (the “Plan”) under Section 401(k) of the Internal Revenue Code. Any contributions made by the Company to the Plan are discretionary. The Company has a stock match program under which the Company matched, in the form of Company common stock, 50% of the first 6% of eligible contributions. The Company recorded expense of $0.8 million, $0.7 million, and $0.6 million for the fiscal years ended March 31, 2011, 2010, and 2009, respectively, and recorded corresponding charges to additional paid-in capital related to this program.</w:t>
      </w:r>
    </w:p>
    <w:p>
      <w:pPr>
        <w:spacing w:after="0" w:line="144"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Equity Investments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in Tres Amigas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October 9, 2009, the Company made an investment in Tres Amigas LLC, (“Tres Amigas”), a merchant transmission company, for $1.8 million, consisting of $0.8 million in cash and $1.0 million in AMSC common stock. On January 6, 2011 and May 20, 2011, the Company increased its minority position in Tres Amigas by an additional $1.8 million on each date. As of June 30, 2011, the Company holds a 37% ownership interest.</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determined that Tres Amigas is a variable interest entity (“VIE”) and that the Company is not the primary beneficiary of the VIE. Therefore, the Company has not consolidated Tres Amigas as of June 30, 2011. The investment is carried at the acquisition cost, plus the Company’s equity in undistributed earnings or losses. The Company’s maximum exposure to loss is limited to the Company’s recorded investment in this VIE.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Company’s investment in Tres Amigas is included in other assets on the consolidated balance sheet and the equity in undistributed losses of Tres Amigas is included in other income (expense), net, on the consolidated statements of operations.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net investment activity for the fiscal years ended March 31, 2011 and 2010 is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Balance at April 1,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Purchase of minority investment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1,809</w:t>
            </w:r>
          </w:p>
        </w:tc>
        <w:tc>
          <w:tcPr>
            <w:tcW w:w="0" w:type="dxa"/>
            <w:vAlign w:val="bottom"/>
          </w:tcPr>
          <w:p>
            <w:pPr>
              <w:spacing w:after="0"/>
              <w:rPr>
                <w:sz w:val="1"/>
                <w:szCs w:val="1"/>
                <w:color w:val="auto"/>
              </w:rPr>
            </w:pPr>
          </w:p>
        </w:tc>
      </w:t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in net losses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3"/>
                <w:szCs w:val="13"/>
                <w:color w:val="auto"/>
              </w:rPr>
              <w:t>Balance at March 31, 2010</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58"/>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minority investment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1,765</w:t>
            </w:r>
          </w:p>
        </w:tc>
        <w:tc>
          <w:tcPr>
            <w:tcW w:w="0" w:type="dxa"/>
            <w:vAlign w:val="bottom"/>
          </w:tcPr>
          <w:p>
            <w:pPr>
              <w:spacing w:after="0"/>
              <w:rPr>
                <w:sz w:val="1"/>
                <w:szCs w:val="1"/>
                <w:color w:val="auto"/>
              </w:rPr>
            </w:pP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Minority interest in net losses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3,026</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in Blade Dynamics Ltd.</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On August 12, 2010, the Company acquired (through AMSC Windtec), a minority ownership position in Blade Dynamics Ltd. (“Blade Dynamics”), a designer and manufacturer of advanced wind turbine blades based on proprietary materials and structural technologies, for $8.0 million in cash. The Company uses the equity method of accounting for this investment since it does not have a controlling ownership interest in the operating and financial policies of Blade Dynamics. As such, the investment is carried at the acquisition cost, plus the Company’s equity in undistributed earnings or losses. The Company’s investment is included in other assets on the consolidated balance sheet and the minority interest in net losses of Blade Dynamics is included in other income (expense), net, on the consolidated statements of operations. As of March 31, 2011, the Company holds a 25% ownership interest. The net investment activity for the fiscal year ended March 31, 2011 is as follows (in thousands):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Balance at April 1,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Purchase of minority investment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8,000</w:t>
            </w:r>
          </w:p>
        </w:tc>
      </w:t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in net losses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(908)</w:t>
            </w: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Net foreign exchange rate impact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811</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7,903</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During fiscal 2007, the Company’s Board of Directors approved a restructuring plan (the “Fiscal 2007 Plan”) to reduce operating costs through the closure its last remaining facility in Westborough, Massachusetts, and the consolidation of operations there, including its corporate headquarters, into its Devens, Massachusetts, facility. The Company’s restructuring charges for the fiscal years ended March 31, 2010, and 2009 were $0.5 million, and $1.0 million, respectively.</w:t>
      </w:r>
    </w:p>
    <w:p>
      <w:pPr>
        <w:spacing w:after="0" w:line="142"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Business Segment and Geographic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April 1, 2011, the Company reported its financial results in two reportable business segments: AMSC Power Systems and AMSC Superconductors.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AMSC Power Systems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Superconductors focuses on manufacturing HTS wire and coils; designs and develops superconductor products, such as power cables, fault current limiters and motors; and manages large-scale superconductor projects.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operating results for the two business segments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Revenues</w:t>
            </w:r>
          </w:p>
        </w:tc>
        <w:tc>
          <w:tcPr>
            <w:tcW w:w="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5"/>
              </w:rPr>
              <w:t>For the Fiscal Years Ended March 31,</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gridSpan w:val="2"/>
            <w:vMerge w:val="continue"/>
          </w:tcPr>
          <w:p>
            <w:pPr>
              <w:spacing w:after="0"/>
              <w:rPr>
                <w:sz w:val="9"/>
                <w:szCs w:val="9"/>
                <w:color w:val="auto"/>
              </w:rPr>
            </w:pPr>
          </w:p>
        </w:tc>
        <w:tc>
          <w:tcPr>
            <w:tcW w:w="540" w:type="dxa"/>
            <w:vAlign w:val="bottom"/>
          </w:tcPr>
          <w:p>
            <w:pPr>
              <w:jc w:val="right"/>
              <w:ind w:right="28"/>
              <w:spacing w:after="0" w:line="108" w:lineRule="exact"/>
              <w:rPr>
                <w:sz w:val="20"/>
                <w:szCs w:val="20"/>
                <w:color w:val="auto"/>
              </w:rPr>
            </w:pPr>
            <w:r>
              <w:rPr>
                <w:rFonts w:ascii="Arial" w:cs="Arial" w:eastAsia="Arial" w:hAnsi="Arial"/>
                <w:sz w:val="10"/>
                <w:szCs w:val="10"/>
                <w:b w:val="1"/>
                <w:bCs w:val="1"/>
                <w:color w:val="auto"/>
              </w:rPr>
              <w:t>2011</w:t>
            </w:r>
          </w:p>
        </w:tc>
        <w:tc>
          <w:tcPr>
            <w:tcW w:w="1260" w:type="dxa"/>
            <w:vAlign w:val="bottom"/>
            <w:gridSpan w:val="3"/>
          </w:tcPr>
          <w:p>
            <w:pPr>
              <w:jc w:val="right"/>
              <w:ind w:right="240"/>
              <w:spacing w:after="0" w:line="10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188"/>
              <w:spacing w:after="0" w:line="108" w:lineRule="exact"/>
              <w:rPr>
                <w:sz w:val="20"/>
                <w:szCs w:val="20"/>
                <w:color w:val="auto"/>
              </w:rPr>
            </w:pPr>
            <w:r>
              <w:rPr>
                <w:rFonts w:ascii="Arial" w:cs="Arial" w:eastAsia="Arial" w:hAnsi="Arial"/>
                <w:sz w:val="10"/>
                <w:szCs w:val="10"/>
                <w:b w:val="1"/>
                <w:bCs w:val="1"/>
                <w:color w:val="auto"/>
              </w:rPr>
              <w:t>2009</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276,440</w:t>
            </w: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304,276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168,008</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AMSC Superconductors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10,163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11,679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14,747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286,603</w:t>
            </w: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315,955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182,755</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Operating Income (Loss)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0"/>
                <w:szCs w:val="10"/>
                <w:b w:val="1"/>
                <w:bCs w:val="1"/>
                <w:color w:val="auto"/>
              </w:rPr>
              <w:t>For the Fiscal Years Ended 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ind w:right="237"/>
              <w:spacing w:after="0" w:line="10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77"/>
              <w:spacing w:after="0" w:line="10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177"/>
              <w:spacing w:after="0" w:line="10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(138,490)</w:t>
            </w: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77,604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26,492</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AMSC Superconductors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(25,911)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(24,432)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(23,655)</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(13,582)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(11,033)</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(177,983)</w:t>
            </w:r>
          </w:p>
        </w:tc>
        <w:tc>
          <w:tcPr>
            <w:tcW w:w="14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38,661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(8,196)</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6820" w:type="dxa"/>
            <w:vAlign w:val="bottom"/>
          </w:tcPr>
          <w:p>
            <w:pPr>
              <w:ind w:left="320"/>
              <w:spacing w:after="0"/>
              <w:rPr>
                <w:sz w:val="20"/>
                <w:szCs w:val="20"/>
                <w:color w:val="auto"/>
              </w:rPr>
            </w:pPr>
            <w:r>
              <w:rPr>
                <w:rFonts w:ascii="Arial" w:cs="Arial" w:eastAsia="Arial" w:hAnsi="Arial"/>
                <w:sz w:val="13"/>
                <w:szCs w:val="13"/>
                <w:color w:val="auto"/>
              </w:rPr>
              <w:t>Total business segments assets are as follows (in thousands):</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97,885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179,873</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AMSC Superconductors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66,422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32,978</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assets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276,902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187,333</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58"/>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441,209</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400,184</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accounting policies of the business segments are the same as those for the consolidated Company. Certain corporate expenses which the Company does not believe are specifically attributable or allocable to either of the two business segments have been excluded from the segment operating income.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Unallocated corporate expenses include stock-based compensation expense of $13.4 million, $13.5 million and $9.7 million for the fiscal years ended March 31, 2011, 2010 and 2009, respectively. For the fiscal years ended March 31, 2010 and 2009, unallocated corporate expenses also included $0.5 million and $1.0 million, respectively, of restructuring charges related primarily to the closure of the Company’s Westborough, Massachusetts facility.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Geographic information about revenue, based on shipments to customers by region,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0"/>
                <w:szCs w:val="10"/>
                <w:b w:val="1"/>
                <w:bCs w:val="1"/>
                <w:color w:val="auto"/>
                <w:w w:val="95"/>
              </w:rPr>
              <w:t>For the Fiscal Years Ended 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40,750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29,826</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North America</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6,670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4,434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6,256</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5,123</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Asia-Pacific</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251,002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256,016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141,550</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286,603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315,955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182,755</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the fiscal year ended March 31, 2011, 2010 and 2009, 93%, 87% and 84% of the Company’s revenues, respectively, were recognized from sales outside the United States. Of the revenue recognized from customers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00"/>
        <w:spacing w:after="0" w:line="276" w:lineRule="auto"/>
        <w:rPr>
          <w:sz w:val="20"/>
          <w:szCs w:val="20"/>
          <w:color w:val="auto"/>
        </w:rPr>
      </w:pPr>
      <w:r>
        <w:rPr>
          <w:rFonts w:ascii="Arial" w:cs="Arial" w:eastAsia="Arial" w:hAnsi="Arial"/>
          <w:sz w:val="13"/>
          <w:szCs w:val="13"/>
          <w:color w:val="auto"/>
        </w:rPr>
        <w:t>outside the United States, 82%, 88% and 86% were recognized from customers in China in the fiscal years ended March 31, 2011, 2010 and 2009, respectively. The Company maintains operations in Austria, China and the United States and sales and service support centers around the world.</w:t>
      </w:r>
    </w:p>
    <w:p>
      <w:pPr>
        <w:spacing w:after="0" w:line="59"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For the fiscal years ended March 31, 2011, 2010 and 2009, the Company had one customer, Sinovel, which represented approximately 68%, 70% and 67% of total revenue, respectively. As of March 31, 2011 and 2010, Sinovel represented 0% and 61% of the total accounts receivable balance,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Geographic information about property, plant and equipment associated with particular regions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U.S and other North America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58,538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Europe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5,895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3,602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96,494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64,315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334" w:lineRule="auto"/>
        <w:rPr>
          <w:sz w:val="20"/>
          <w:szCs w:val="20"/>
          <w:color w:val="auto"/>
        </w:rPr>
      </w:pPr>
      <w:r>
        <w:rPr>
          <w:rFonts w:ascii="Arial" w:cs="Arial" w:eastAsia="Arial" w:hAnsi="Arial"/>
          <w:sz w:val="11"/>
          <w:szCs w:val="11"/>
          <w:color w:val="auto"/>
        </w:rPr>
        <w:t>In order to more effectively increase and diversify its revenues, as of April 1, 2011, the Company resegmented its business into two new market-facing business segments: Wind and Grid. The Company believes that this more market-centric structure will enable it to more effectively anticipate and meet the needs of its core wind turbine manufacturing, power generation project development and electric utility customers. Through March 31, 2011, the Company continued to report on the AMSC Power Systems and AMSC Superconductors business segments.</w:t>
      </w:r>
    </w:p>
    <w:p>
      <w:pPr>
        <w:spacing w:after="0" w:line="107"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As disclosed in Note 2, the Company restated its unaudited condensed consolidated financial statements for the fiscal quarters ended September 30, 2010 and December 31, 2010 as reflected in amended Quarterly Reports on Form 10-Q/A for the applicable periods and is reflected in the information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2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amount)</w:t>
            </w: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0"/>
                <w:szCs w:val="10"/>
                <w:b w:val="1"/>
                <w:bCs w:val="1"/>
                <w:color w:val="auto"/>
              </w:rPr>
              <w:t>For the Fiscal Year Ended March 31, 2011:</w:t>
            </w: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20" w:type="dxa"/>
            <w:vAlign w:val="bottom"/>
            <w:vMerge w:val="continue"/>
          </w:tcPr>
          <w:p>
            <w:pPr>
              <w:spacing w:after="0"/>
              <w:rPr>
                <w:sz w:val="7"/>
                <w:szCs w:val="7"/>
                <w:color w:val="auto"/>
              </w:rPr>
            </w:pPr>
          </w:p>
        </w:tc>
        <w:tc>
          <w:tcPr>
            <w:tcW w:w="86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7"/>
                <w:szCs w:val="7"/>
                <w:color w:val="auto"/>
              </w:rPr>
            </w:pPr>
          </w:p>
        </w:tc>
        <w:tc>
          <w:tcPr>
            <w:tcW w:w="12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September 30,</w:t>
            </w:r>
          </w:p>
        </w:tc>
        <w:tc>
          <w:tcPr>
            <w:tcW w:w="260" w:type="dxa"/>
            <w:vAlign w:val="bottom"/>
          </w:tcPr>
          <w:p>
            <w:pPr>
              <w:spacing w:after="0"/>
              <w:rPr>
                <w:sz w:val="7"/>
                <w:szCs w:val="7"/>
                <w:color w:val="auto"/>
              </w:rPr>
            </w:pPr>
          </w:p>
        </w:tc>
        <w:tc>
          <w:tcPr>
            <w:tcW w:w="1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December 31,</w:t>
            </w:r>
          </w:p>
        </w:tc>
        <w:tc>
          <w:tcPr>
            <w:tcW w:w="260" w:type="dxa"/>
            <w:vAlign w:val="bottom"/>
          </w:tcPr>
          <w:p>
            <w:pPr>
              <w:spacing w:after="0"/>
              <w:rPr>
                <w:sz w:val="7"/>
                <w:szCs w:val="7"/>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18"/>
        </w:trPr>
        <w:tc>
          <w:tcPr>
            <w:tcW w:w="46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hree Months Ended</w:t>
            </w:r>
          </w:p>
        </w:tc>
        <w:tc>
          <w:tcPr>
            <w:tcW w:w="860" w:type="dxa"/>
            <w:vAlign w:val="bottom"/>
            <w:vMerge w:val="continue"/>
          </w:tcPr>
          <w:p>
            <w:pPr>
              <w:spacing w:after="0"/>
              <w:rPr>
                <w:sz w:val="10"/>
                <w:szCs w:val="10"/>
                <w:color w:val="auto"/>
              </w:rPr>
            </w:pPr>
          </w:p>
        </w:tc>
        <w:tc>
          <w:tcPr>
            <w:tcW w:w="1540" w:type="dxa"/>
            <w:vAlign w:val="bottom"/>
            <w:gridSpan w:val="2"/>
          </w:tcPr>
          <w:p>
            <w:pPr>
              <w:jc w:val="center"/>
              <w:ind w:left="197"/>
              <w:spacing w:after="0"/>
              <w:rPr>
                <w:sz w:val="20"/>
                <w:szCs w:val="20"/>
                <w:color w:val="auto"/>
              </w:rPr>
            </w:pPr>
            <w:r>
              <w:rPr>
                <w:rFonts w:ascii="Arial" w:cs="Arial" w:eastAsia="Arial" w:hAnsi="Arial"/>
                <w:sz w:val="10"/>
                <w:szCs w:val="10"/>
                <w:b w:val="1"/>
                <w:bCs w:val="1"/>
                <w:color w:val="auto"/>
                <w:w w:val="89"/>
              </w:rPr>
              <w:t>2010</w:t>
            </w:r>
          </w:p>
        </w:tc>
        <w:tc>
          <w:tcPr>
            <w:tcW w:w="1560" w:type="dxa"/>
            <w:vAlign w:val="bottom"/>
            <w:gridSpan w:val="2"/>
          </w:tcPr>
          <w:p>
            <w:pPr>
              <w:jc w:val="center"/>
              <w:ind w:left="197"/>
              <w:spacing w:after="0"/>
              <w:rPr>
                <w:sz w:val="20"/>
                <w:szCs w:val="20"/>
                <w:color w:val="auto"/>
              </w:rPr>
            </w:pPr>
            <w:r>
              <w:rPr>
                <w:rFonts w:ascii="Arial" w:cs="Arial" w:eastAsia="Arial" w:hAnsi="Arial"/>
                <w:sz w:val="10"/>
                <w:szCs w:val="10"/>
                <w:b w:val="1"/>
                <w:bCs w:val="1"/>
                <w:color w:val="auto"/>
                <w:w w:val="98"/>
              </w:rPr>
              <w:t>2010</w:t>
            </w:r>
          </w:p>
        </w:tc>
        <w:tc>
          <w:tcPr>
            <w:tcW w:w="2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20" w:type="dxa"/>
            <w:vAlign w:val="bottom"/>
            <w:vMerge w:val="continue"/>
          </w:tcPr>
          <w:p>
            <w:pPr>
              <w:spacing w:after="0"/>
              <w:rPr>
                <w:sz w:val="10"/>
                <w:szCs w:val="10"/>
                <w:color w:val="auto"/>
              </w:rPr>
            </w:pPr>
          </w:p>
        </w:tc>
        <w:tc>
          <w:tcPr>
            <w:tcW w:w="860" w:type="dxa"/>
            <w:vAlign w:val="bottom"/>
          </w:tcPr>
          <w:p>
            <w:pPr>
              <w:jc w:val="right"/>
              <w:ind w:right="258"/>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3"/>
              </w:rPr>
              <w:t>(Restated)</w:t>
            </w:r>
          </w:p>
        </w:tc>
        <w:tc>
          <w:tcPr>
            <w:tcW w:w="2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3"/>
              </w:rPr>
              <w:t>(Restated)</w:t>
            </w:r>
          </w:p>
        </w:tc>
        <w:tc>
          <w:tcPr>
            <w:tcW w:w="1400" w:type="dxa"/>
            <w:vAlign w:val="bottom"/>
            <w:gridSpan w:val="2"/>
          </w:tcPr>
          <w:p>
            <w:pPr>
              <w:jc w:val="right"/>
              <w:ind w:right="408"/>
              <w:spacing w:after="0"/>
              <w:rPr>
                <w:sz w:val="20"/>
                <w:szCs w:val="20"/>
                <w:color w:val="auto"/>
              </w:rPr>
            </w:pPr>
            <w:r>
              <w:rPr>
                <w:rFonts w:ascii="Arial" w:cs="Arial" w:eastAsia="Arial" w:hAnsi="Arial"/>
                <w:sz w:val="10"/>
                <w:szCs w:val="10"/>
                <w:b w:val="1"/>
                <w:bCs w:val="1"/>
                <w:color w:val="auto"/>
              </w:rPr>
              <w:t>2011</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$97,209</w:t>
            </w:r>
          </w:p>
        </w:tc>
        <w:tc>
          <w:tcPr>
            <w:tcW w:w="1540" w:type="dxa"/>
            <w:vAlign w:val="bottom"/>
            <w:gridSpan w:val="2"/>
            <w:shd w:val="clear" w:color="auto" w:fill="CCEEFF"/>
          </w:tcPr>
          <w:p>
            <w:pPr>
              <w:jc w:val="right"/>
              <w:ind w:right="409"/>
              <w:spacing w:after="0"/>
              <w:rPr>
                <w:sz w:val="20"/>
                <w:szCs w:val="20"/>
                <w:color w:val="auto"/>
              </w:rPr>
            </w:pPr>
            <w:r>
              <w:rPr>
                <w:rFonts w:ascii="Arial" w:cs="Arial" w:eastAsia="Arial" w:hAnsi="Arial"/>
                <w:sz w:val="13"/>
                <w:szCs w:val="13"/>
                <w:color w:val="auto"/>
              </w:rPr>
              <w:t>$98,073</w:t>
            </w:r>
          </w:p>
        </w:tc>
        <w:tc>
          <w:tcPr>
            <w:tcW w:w="1560" w:type="dxa"/>
            <w:vAlign w:val="bottom"/>
            <w:gridSpan w:val="2"/>
            <w:shd w:val="clear" w:color="auto" w:fill="CCEEFF"/>
          </w:tcPr>
          <w:p>
            <w:pPr>
              <w:jc w:val="right"/>
              <w:ind w:right="390"/>
              <w:spacing w:after="0"/>
              <w:rPr>
                <w:sz w:val="20"/>
                <w:szCs w:val="20"/>
                <w:color w:val="auto"/>
              </w:rPr>
            </w:pPr>
            <w:r>
              <w:rPr>
                <w:rFonts w:ascii="Arial" w:cs="Arial" w:eastAsia="Arial" w:hAnsi="Arial"/>
                <w:sz w:val="13"/>
                <w:szCs w:val="13"/>
                <w:color w:val="auto"/>
              </w:rPr>
              <w:t>$ 31,570</w:t>
            </w:r>
          </w:p>
        </w:tc>
        <w:tc>
          <w:tcPr>
            <w:tcW w:w="140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  59,751</w:t>
            </w:r>
          </w:p>
        </w:tc>
        <w:tc>
          <w:tcPr>
            <w:tcW w:w="0" w:type="dxa"/>
            <w:vAlign w:val="bottom"/>
          </w:tcPr>
          <w:p>
            <w:pPr>
              <w:spacing w:after="0"/>
              <w:rPr>
                <w:sz w:val="1"/>
                <w:szCs w:val="1"/>
                <w:color w:val="auto"/>
              </w:rPr>
            </w:pPr>
          </w:p>
        </w:tc>
      </w:tr>
      <w:tr>
        <w:trPr>
          <w:trHeight w:val="157"/>
        </w:trPr>
        <w:tc>
          <w:tcPr>
            <w:tcW w:w="4620" w:type="dxa"/>
            <w:vAlign w:val="bottom"/>
          </w:tcPr>
          <w:p>
            <w:pPr>
              <w:spacing w:after="0"/>
              <w:rPr>
                <w:sz w:val="20"/>
                <w:szCs w:val="20"/>
                <w:color w:val="auto"/>
              </w:rPr>
            </w:pPr>
            <w:r>
              <w:rPr>
                <w:rFonts w:ascii="Arial" w:cs="Arial" w:eastAsia="Arial" w:hAnsi="Arial"/>
                <w:sz w:val="13"/>
                <w:szCs w:val="13"/>
                <w:color w:val="auto"/>
              </w:rPr>
              <w:t>Operating income (loss)</w:t>
            </w:r>
          </w:p>
        </w:tc>
        <w:tc>
          <w:tcPr>
            <w:tcW w:w="860" w:type="dxa"/>
            <w:vAlign w:val="bottom"/>
          </w:tcPr>
          <w:p>
            <w:pPr>
              <w:jc w:val="right"/>
              <w:ind w:right="178"/>
              <w:spacing w:after="0"/>
              <w:rPr>
                <w:sz w:val="20"/>
                <w:szCs w:val="20"/>
                <w:color w:val="auto"/>
              </w:rPr>
            </w:pPr>
            <w:r>
              <w:rPr>
                <w:rFonts w:ascii="Arial" w:cs="Arial" w:eastAsia="Arial" w:hAnsi="Arial"/>
                <w:sz w:val="13"/>
                <w:szCs w:val="13"/>
                <w:color w:val="auto"/>
              </w:rPr>
              <w:t>16,081</w:t>
            </w:r>
          </w:p>
        </w:tc>
        <w:tc>
          <w:tcPr>
            <w:tcW w:w="1540" w:type="dxa"/>
            <w:vAlign w:val="bottom"/>
            <w:gridSpan w:val="2"/>
          </w:tcPr>
          <w:p>
            <w:pPr>
              <w:jc w:val="right"/>
              <w:ind w:right="409"/>
              <w:spacing w:after="0"/>
              <w:rPr>
                <w:sz w:val="20"/>
                <w:szCs w:val="20"/>
                <w:color w:val="auto"/>
              </w:rPr>
            </w:pPr>
            <w:r>
              <w:rPr>
                <w:rFonts w:ascii="Arial" w:cs="Arial" w:eastAsia="Arial" w:hAnsi="Arial"/>
                <w:sz w:val="13"/>
                <w:szCs w:val="13"/>
                <w:color w:val="auto"/>
              </w:rPr>
              <w:t>13,080</w:t>
            </w:r>
          </w:p>
        </w:tc>
        <w:tc>
          <w:tcPr>
            <w:tcW w:w="1560" w:type="dxa"/>
            <w:vAlign w:val="bottom"/>
            <w:gridSpan w:val="2"/>
          </w:tcPr>
          <w:p>
            <w:pPr>
              <w:jc w:val="right"/>
              <w:ind w:right="350"/>
              <w:spacing w:after="0"/>
              <w:rPr>
                <w:sz w:val="20"/>
                <w:szCs w:val="20"/>
                <w:color w:val="auto"/>
              </w:rPr>
            </w:pPr>
            <w:r>
              <w:rPr>
                <w:rFonts w:ascii="Arial" w:cs="Arial" w:eastAsia="Arial" w:hAnsi="Arial"/>
                <w:sz w:val="13"/>
                <w:szCs w:val="13"/>
                <w:color w:val="auto"/>
              </w:rPr>
              <w:t>(22,960)</w:t>
            </w:r>
          </w:p>
        </w:tc>
        <w:tc>
          <w:tcPr>
            <w:tcW w:w="1400" w:type="dxa"/>
            <w:vAlign w:val="bottom"/>
            <w:gridSpan w:val="2"/>
          </w:tcPr>
          <w:p>
            <w:pPr>
              <w:jc w:val="right"/>
              <w:ind w:right="228"/>
              <w:spacing w:after="0"/>
              <w:rPr>
                <w:sz w:val="20"/>
                <w:szCs w:val="20"/>
                <w:color w:val="auto"/>
              </w:rPr>
            </w:pPr>
            <w:r>
              <w:rPr>
                <w:rFonts w:ascii="Arial" w:cs="Arial" w:eastAsia="Arial" w:hAnsi="Arial"/>
                <w:sz w:val="13"/>
                <w:szCs w:val="13"/>
                <w:color w:val="auto"/>
              </w:rPr>
              <w:t>(184,184)</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9,170</w:t>
            </w:r>
          </w:p>
        </w:tc>
        <w:tc>
          <w:tcPr>
            <w:tcW w:w="1540" w:type="dxa"/>
            <w:vAlign w:val="bottom"/>
            <w:gridSpan w:val="2"/>
            <w:shd w:val="clear" w:color="auto" w:fill="CCEEFF"/>
          </w:tcPr>
          <w:p>
            <w:pPr>
              <w:jc w:val="right"/>
              <w:ind w:right="409"/>
              <w:spacing w:after="0"/>
              <w:rPr>
                <w:sz w:val="20"/>
                <w:szCs w:val="20"/>
                <w:color w:val="auto"/>
              </w:rPr>
            </w:pPr>
            <w:r>
              <w:rPr>
                <w:rFonts w:ascii="Arial" w:cs="Arial" w:eastAsia="Arial" w:hAnsi="Arial"/>
                <w:sz w:val="13"/>
                <w:szCs w:val="13"/>
                <w:color w:val="auto"/>
              </w:rPr>
              <w:t>7,839</w:t>
            </w:r>
          </w:p>
        </w:tc>
        <w:tc>
          <w:tcPr>
            <w:tcW w:w="1560" w:type="dxa"/>
            <w:vAlign w:val="bottom"/>
            <w:gridSpan w:val="2"/>
            <w:shd w:val="clear" w:color="auto" w:fill="CCEEFF"/>
          </w:tcPr>
          <w:p>
            <w:pPr>
              <w:jc w:val="right"/>
              <w:ind w:right="350"/>
              <w:spacing w:after="0"/>
              <w:rPr>
                <w:sz w:val="20"/>
                <w:szCs w:val="20"/>
                <w:color w:val="auto"/>
              </w:rPr>
            </w:pPr>
            <w:r>
              <w:rPr>
                <w:rFonts w:ascii="Arial" w:cs="Arial" w:eastAsia="Arial" w:hAnsi="Arial"/>
                <w:sz w:val="13"/>
                <w:szCs w:val="13"/>
                <w:color w:val="auto"/>
              </w:rPr>
              <w:t>(18,158)</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(185,135)</w:t>
            </w:r>
          </w:p>
        </w:tc>
        <w:tc>
          <w:tcPr>
            <w:tcW w:w="0" w:type="dxa"/>
            <w:vAlign w:val="bottom"/>
          </w:tcPr>
          <w:p>
            <w:pPr>
              <w:spacing w:after="0"/>
              <w:rPr>
                <w:sz w:val="1"/>
                <w:szCs w:val="1"/>
                <w:color w:val="auto"/>
              </w:rPr>
            </w:pPr>
          </w:p>
        </w:tc>
      </w:tr>
      <w:tr>
        <w:trPr>
          <w:trHeight w:val="157"/>
        </w:trPr>
        <w:tc>
          <w:tcPr>
            <w:tcW w:w="4620" w:type="dxa"/>
            <w:vAlign w:val="bottom"/>
          </w:tcPr>
          <w:p>
            <w:pPr>
              <w:spacing w:after="0"/>
              <w:rPr>
                <w:sz w:val="20"/>
                <w:szCs w:val="20"/>
                <w:color w:val="auto"/>
              </w:rPr>
            </w:pPr>
            <w:r>
              <w:rPr>
                <w:rFonts w:ascii="Arial" w:cs="Arial" w:eastAsia="Arial" w:hAnsi="Arial"/>
                <w:sz w:val="13"/>
                <w:szCs w:val="13"/>
                <w:color w:val="auto"/>
              </w:rPr>
              <w:t>Net income (loss) per common share — basic</w:t>
            </w:r>
          </w:p>
        </w:tc>
        <w:tc>
          <w:tcPr>
            <w:tcW w:w="860" w:type="dxa"/>
            <w:vAlign w:val="bottom"/>
          </w:tcPr>
          <w:p>
            <w:pPr>
              <w:jc w:val="right"/>
              <w:ind w:right="178"/>
              <w:spacing w:after="0"/>
              <w:rPr>
                <w:sz w:val="20"/>
                <w:szCs w:val="20"/>
                <w:color w:val="auto"/>
              </w:rPr>
            </w:pPr>
            <w:r>
              <w:rPr>
                <w:rFonts w:ascii="Arial" w:cs="Arial" w:eastAsia="Arial" w:hAnsi="Arial"/>
                <w:sz w:val="13"/>
                <w:szCs w:val="13"/>
                <w:color w:val="auto"/>
              </w:rPr>
              <w:t>0.20</w:t>
            </w:r>
          </w:p>
        </w:tc>
        <w:tc>
          <w:tcPr>
            <w:tcW w:w="1540" w:type="dxa"/>
            <w:vAlign w:val="bottom"/>
            <w:gridSpan w:val="2"/>
          </w:tcPr>
          <w:p>
            <w:pPr>
              <w:jc w:val="right"/>
              <w:ind w:right="409"/>
              <w:spacing w:after="0"/>
              <w:rPr>
                <w:sz w:val="20"/>
                <w:szCs w:val="20"/>
                <w:color w:val="auto"/>
              </w:rPr>
            </w:pPr>
            <w:r>
              <w:rPr>
                <w:rFonts w:ascii="Arial" w:cs="Arial" w:eastAsia="Arial" w:hAnsi="Arial"/>
                <w:sz w:val="13"/>
                <w:szCs w:val="13"/>
                <w:color w:val="auto"/>
              </w:rPr>
              <w:t>0.17</w:t>
            </w:r>
          </w:p>
        </w:tc>
        <w:tc>
          <w:tcPr>
            <w:tcW w:w="1560" w:type="dxa"/>
            <w:vAlign w:val="bottom"/>
            <w:gridSpan w:val="2"/>
          </w:tcPr>
          <w:p>
            <w:pPr>
              <w:jc w:val="right"/>
              <w:ind w:right="350"/>
              <w:spacing w:after="0"/>
              <w:rPr>
                <w:sz w:val="20"/>
                <w:szCs w:val="20"/>
                <w:color w:val="auto"/>
              </w:rPr>
            </w:pPr>
            <w:r>
              <w:rPr>
                <w:rFonts w:ascii="Arial" w:cs="Arial" w:eastAsia="Arial" w:hAnsi="Arial"/>
                <w:sz w:val="13"/>
                <w:szCs w:val="13"/>
                <w:color w:val="auto"/>
              </w:rPr>
              <w:t>(0.38)</w:t>
            </w:r>
          </w:p>
        </w:tc>
        <w:tc>
          <w:tcPr>
            <w:tcW w:w="1400" w:type="dxa"/>
            <w:vAlign w:val="bottom"/>
            <w:gridSpan w:val="2"/>
          </w:tcPr>
          <w:p>
            <w:pPr>
              <w:jc w:val="right"/>
              <w:ind w:right="228"/>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common share — diluted</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0.20</w:t>
            </w:r>
          </w:p>
        </w:tc>
        <w:tc>
          <w:tcPr>
            <w:tcW w:w="1540" w:type="dxa"/>
            <w:vAlign w:val="bottom"/>
            <w:gridSpan w:val="2"/>
            <w:shd w:val="clear" w:color="auto" w:fill="CCEEFF"/>
          </w:tcPr>
          <w:p>
            <w:pPr>
              <w:jc w:val="right"/>
              <w:ind w:right="409"/>
              <w:spacing w:after="0"/>
              <w:rPr>
                <w:sz w:val="20"/>
                <w:szCs w:val="20"/>
                <w:color w:val="auto"/>
              </w:rPr>
            </w:pPr>
            <w:r>
              <w:rPr>
                <w:rFonts w:ascii="Arial" w:cs="Arial" w:eastAsia="Arial" w:hAnsi="Arial"/>
                <w:sz w:val="13"/>
                <w:szCs w:val="13"/>
                <w:color w:val="auto"/>
              </w:rPr>
              <w:t>0.17</w:t>
            </w:r>
          </w:p>
        </w:tc>
        <w:tc>
          <w:tcPr>
            <w:tcW w:w="1560" w:type="dxa"/>
            <w:vAlign w:val="bottom"/>
            <w:gridSpan w:val="2"/>
            <w:shd w:val="clear" w:color="auto" w:fill="CCEEFF"/>
          </w:tcPr>
          <w:p>
            <w:pPr>
              <w:jc w:val="right"/>
              <w:ind w:right="350"/>
              <w:spacing w:after="0"/>
              <w:rPr>
                <w:sz w:val="20"/>
                <w:szCs w:val="20"/>
                <w:color w:val="auto"/>
              </w:rPr>
            </w:pPr>
            <w:r>
              <w:rPr>
                <w:rFonts w:ascii="Arial" w:cs="Arial" w:eastAsia="Arial" w:hAnsi="Arial"/>
                <w:sz w:val="13"/>
                <w:szCs w:val="13"/>
                <w:color w:val="auto"/>
              </w:rPr>
              <w:t>(0.38)</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0"/>
                <w:szCs w:val="10"/>
                <w:b w:val="1"/>
                <w:bCs w:val="1"/>
                <w:color w:val="auto"/>
              </w:rPr>
              <w:t>For the Fiscal Year Ended March 31, 2010:</w:t>
            </w: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48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hree Months Ended</w:t>
            </w:r>
          </w:p>
        </w:tc>
        <w:tc>
          <w:tcPr>
            <w:tcW w:w="900" w:type="dxa"/>
            <w:vAlign w:val="bottom"/>
          </w:tcPr>
          <w:p>
            <w:pPr>
              <w:jc w:val="right"/>
              <w:ind w:right="198"/>
              <w:spacing w:after="0" w:line="91" w:lineRule="exact"/>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7"/>
                <w:szCs w:val="7"/>
                <w:color w:val="auto"/>
              </w:rPr>
            </w:pPr>
          </w:p>
        </w:tc>
        <w:tc>
          <w:tcPr>
            <w:tcW w:w="1300" w:type="dxa"/>
            <w:vAlign w:val="bottom"/>
          </w:tcPr>
          <w:p>
            <w:pPr>
              <w:jc w:val="right"/>
              <w:ind w:right="288"/>
              <w:spacing w:after="0" w:line="91"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7"/>
                <w:szCs w:val="7"/>
                <w:color w:val="auto"/>
              </w:rPr>
            </w:pPr>
          </w:p>
        </w:tc>
        <w:tc>
          <w:tcPr>
            <w:tcW w:w="1280" w:type="dxa"/>
            <w:vAlign w:val="bottom"/>
          </w:tcPr>
          <w:p>
            <w:pPr>
              <w:jc w:val="right"/>
              <w:ind w:right="288"/>
              <w:spacing w:after="0" w:line="91" w:lineRule="exact"/>
              <w:rPr>
                <w:sz w:val="20"/>
                <w:szCs w:val="20"/>
                <w:color w:val="auto"/>
              </w:rPr>
            </w:pPr>
            <w:r>
              <w:rPr>
                <w:rFonts w:ascii="Arial" w:cs="Arial" w:eastAsia="Arial" w:hAnsi="Arial"/>
                <w:sz w:val="10"/>
                <w:szCs w:val="10"/>
                <w:b w:val="1"/>
                <w:bCs w:val="1"/>
                <w:color w:val="auto"/>
              </w:rPr>
              <w:t>December 31,</w:t>
            </w:r>
          </w:p>
        </w:tc>
        <w:tc>
          <w:tcPr>
            <w:tcW w:w="260" w:type="dxa"/>
            <w:vAlign w:val="bottom"/>
          </w:tcPr>
          <w:p>
            <w:pPr>
              <w:spacing w:after="0"/>
              <w:rPr>
                <w:sz w:val="7"/>
                <w:szCs w:val="7"/>
                <w:color w:val="auto"/>
              </w:rPr>
            </w:pPr>
          </w:p>
        </w:tc>
        <w:tc>
          <w:tcPr>
            <w:tcW w:w="900" w:type="dxa"/>
            <w:vAlign w:val="bottom"/>
          </w:tcPr>
          <w:p>
            <w:pPr>
              <w:jc w:val="right"/>
              <w:ind w:right="168"/>
              <w:spacing w:after="0" w:line="91" w:lineRule="exact"/>
              <w:rPr>
                <w:sz w:val="20"/>
                <w:szCs w:val="20"/>
                <w:color w:val="auto"/>
              </w:rPr>
            </w:pPr>
            <w:r>
              <w:rPr>
                <w:rFonts w:ascii="Arial" w:cs="Arial" w:eastAsia="Arial" w:hAnsi="Arial"/>
                <w:sz w:val="10"/>
                <w:szCs w:val="10"/>
                <w:b w:val="1"/>
                <w:bCs w:val="1"/>
                <w:color w:val="auto"/>
              </w:rPr>
              <w:t>March 31,</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900" w:type="dxa"/>
            <w:vAlign w:val="bottom"/>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1560" w:type="dxa"/>
            <w:vAlign w:val="bottom"/>
            <w:gridSpan w:val="2"/>
          </w:tcPr>
          <w:p>
            <w:pPr>
              <w:jc w:val="right"/>
              <w:ind w:right="488"/>
              <w:spacing w:after="0"/>
              <w:rPr>
                <w:sz w:val="20"/>
                <w:szCs w:val="20"/>
                <w:color w:val="auto"/>
              </w:rPr>
            </w:pPr>
            <w:r>
              <w:rPr>
                <w:rFonts w:ascii="Arial" w:cs="Arial" w:eastAsia="Arial" w:hAnsi="Arial"/>
                <w:sz w:val="10"/>
                <w:szCs w:val="10"/>
                <w:b w:val="1"/>
                <w:bCs w:val="1"/>
                <w:color w:val="auto"/>
              </w:rPr>
              <w:t>2009</w:t>
            </w:r>
          </w:p>
        </w:tc>
        <w:tc>
          <w:tcPr>
            <w:tcW w:w="1540" w:type="dxa"/>
            <w:vAlign w:val="bottom"/>
            <w:gridSpan w:val="2"/>
          </w:tcPr>
          <w:p>
            <w:pPr>
              <w:jc w:val="right"/>
              <w:ind w:right="488"/>
              <w:spacing w:after="0"/>
              <w:rPr>
                <w:sz w:val="20"/>
                <w:szCs w:val="20"/>
                <w:color w:val="auto"/>
              </w:rPr>
            </w:pPr>
            <w:r>
              <w:rPr>
                <w:rFonts w:ascii="Arial" w:cs="Arial" w:eastAsia="Arial" w:hAnsi="Arial"/>
                <w:sz w:val="10"/>
                <w:szCs w:val="10"/>
                <w:b w:val="1"/>
                <w:bCs w:val="1"/>
                <w:color w:val="auto"/>
              </w:rPr>
              <w:t>2009</w:t>
            </w:r>
          </w:p>
        </w:tc>
        <w:tc>
          <w:tcPr>
            <w:tcW w:w="116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2010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$73,000</w:t>
            </w:r>
          </w:p>
        </w:tc>
        <w:tc>
          <w:tcPr>
            <w:tcW w:w="15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$74,672</w:t>
            </w:r>
          </w:p>
        </w:tc>
        <w:tc>
          <w:tcPr>
            <w:tcW w:w="15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$80,659</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$87,624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Operating income</w:t>
            </w:r>
          </w:p>
        </w:tc>
        <w:tc>
          <w:tcPr>
            <w:tcW w:w="900" w:type="dxa"/>
            <w:vAlign w:val="bottom"/>
          </w:tcPr>
          <w:p>
            <w:pPr>
              <w:jc w:val="right"/>
              <w:ind w:right="198"/>
              <w:spacing w:after="0"/>
              <w:rPr>
                <w:sz w:val="20"/>
                <w:szCs w:val="20"/>
                <w:color w:val="auto"/>
              </w:rPr>
            </w:pPr>
            <w:r>
              <w:rPr>
                <w:rFonts w:ascii="Arial" w:cs="Arial" w:eastAsia="Arial" w:hAnsi="Arial"/>
                <w:sz w:val="13"/>
                <w:szCs w:val="13"/>
                <w:color w:val="auto"/>
              </w:rPr>
              <w:t>6,391</w:t>
            </w:r>
          </w:p>
        </w:tc>
        <w:tc>
          <w:tcPr>
            <w:tcW w:w="1560" w:type="dxa"/>
            <w:vAlign w:val="bottom"/>
            <w:gridSpan w:val="2"/>
          </w:tcPr>
          <w:p>
            <w:pPr>
              <w:jc w:val="right"/>
              <w:ind w:right="408"/>
              <w:spacing w:after="0"/>
              <w:rPr>
                <w:sz w:val="20"/>
                <w:szCs w:val="20"/>
                <w:color w:val="auto"/>
              </w:rPr>
            </w:pPr>
            <w:r>
              <w:rPr>
                <w:rFonts w:ascii="Arial" w:cs="Arial" w:eastAsia="Arial" w:hAnsi="Arial"/>
                <w:sz w:val="13"/>
                <w:szCs w:val="13"/>
                <w:color w:val="auto"/>
              </w:rPr>
              <w:t>10,330</w:t>
            </w:r>
          </w:p>
        </w:tc>
        <w:tc>
          <w:tcPr>
            <w:tcW w:w="1540" w:type="dxa"/>
            <w:vAlign w:val="bottom"/>
            <w:gridSpan w:val="2"/>
          </w:tcPr>
          <w:p>
            <w:pPr>
              <w:jc w:val="right"/>
              <w:ind w:right="408"/>
              <w:spacing w:after="0"/>
              <w:rPr>
                <w:sz w:val="20"/>
                <w:szCs w:val="20"/>
                <w:color w:val="auto"/>
              </w:rPr>
            </w:pPr>
            <w:r>
              <w:rPr>
                <w:rFonts w:ascii="Arial" w:cs="Arial" w:eastAsia="Arial" w:hAnsi="Arial"/>
                <w:sz w:val="13"/>
                <w:szCs w:val="13"/>
                <w:color w:val="auto"/>
              </w:rPr>
              <w:t>10,440</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11,500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1,792</w:t>
            </w:r>
          </w:p>
        </w:tc>
        <w:tc>
          <w:tcPr>
            <w:tcW w:w="15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4,340</w:t>
            </w:r>
          </w:p>
        </w:tc>
        <w:tc>
          <w:tcPr>
            <w:tcW w:w="15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5,179</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4,937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Net income per common share — basic</w:t>
            </w:r>
          </w:p>
        </w:tc>
        <w:tc>
          <w:tcPr>
            <w:tcW w:w="900" w:type="dxa"/>
            <w:vAlign w:val="bottom"/>
          </w:tcPr>
          <w:p>
            <w:pPr>
              <w:jc w:val="right"/>
              <w:ind w:right="198"/>
              <w:spacing w:after="0"/>
              <w:rPr>
                <w:sz w:val="20"/>
                <w:szCs w:val="20"/>
                <w:color w:val="auto"/>
              </w:rPr>
            </w:pPr>
            <w:r>
              <w:rPr>
                <w:rFonts w:ascii="Arial" w:cs="Arial" w:eastAsia="Arial" w:hAnsi="Arial"/>
                <w:sz w:val="13"/>
                <w:szCs w:val="13"/>
                <w:color w:val="auto"/>
              </w:rPr>
              <w:t>0.04</w:t>
            </w:r>
          </w:p>
        </w:tc>
        <w:tc>
          <w:tcPr>
            <w:tcW w:w="1560" w:type="dxa"/>
            <w:vAlign w:val="bottom"/>
            <w:gridSpan w:val="2"/>
          </w:tcPr>
          <w:p>
            <w:pPr>
              <w:jc w:val="right"/>
              <w:ind w:right="408"/>
              <w:spacing w:after="0"/>
              <w:rPr>
                <w:sz w:val="20"/>
                <w:szCs w:val="20"/>
                <w:color w:val="auto"/>
              </w:rPr>
            </w:pPr>
            <w:r>
              <w:rPr>
                <w:rFonts w:ascii="Arial" w:cs="Arial" w:eastAsia="Arial" w:hAnsi="Arial"/>
                <w:sz w:val="13"/>
                <w:szCs w:val="13"/>
                <w:color w:val="auto"/>
              </w:rPr>
              <w:t>0.10</w:t>
            </w:r>
          </w:p>
        </w:tc>
        <w:tc>
          <w:tcPr>
            <w:tcW w:w="1540" w:type="dxa"/>
            <w:vAlign w:val="bottom"/>
            <w:gridSpan w:val="2"/>
          </w:tcPr>
          <w:p>
            <w:pPr>
              <w:jc w:val="right"/>
              <w:ind w:right="408"/>
              <w:spacing w:after="0"/>
              <w:rPr>
                <w:sz w:val="20"/>
                <w:szCs w:val="20"/>
                <w:color w:val="auto"/>
              </w:rPr>
            </w:pPr>
            <w:r>
              <w:rPr>
                <w:rFonts w:ascii="Arial" w:cs="Arial" w:eastAsia="Arial" w:hAnsi="Arial"/>
                <w:sz w:val="13"/>
                <w:szCs w:val="13"/>
                <w:color w:val="auto"/>
              </w:rPr>
              <w:t>0.12</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common share — diluted</w:t>
            </w:r>
          </w:p>
        </w:tc>
        <w:tc>
          <w:tcPr>
            <w:tcW w:w="9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0.04</w:t>
            </w:r>
          </w:p>
        </w:tc>
        <w:tc>
          <w:tcPr>
            <w:tcW w:w="15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0.10</w:t>
            </w:r>
          </w:p>
        </w:tc>
        <w:tc>
          <w:tcPr>
            <w:tcW w:w="15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0.11</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00" w:type="dxa"/>
            <w:vAlign w:val="bottom"/>
          </w:tcPr>
          <w:p>
            <w:pPr>
              <w:jc w:val="right"/>
              <w:ind w:right="598"/>
              <w:spacing w:after="0"/>
              <w:rPr>
                <w:sz w:val="20"/>
                <w:szCs w:val="20"/>
                <w:color w:val="auto"/>
              </w:rPr>
            </w:pPr>
            <w:r>
              <w:rPr>
                <w:rFonts w:ascii="Arial" w:cs="Arial" w:eastAsia="Arial" w:hAnsi="Arial"/>
                <w:sz w:val="13"/>
                <w:szCs w:val="13"/>
                <w:color w:val="auto"/>
              </w:rPr>
              <w:t>98</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80" w:type="dxa"/>
            <w:vAlign w:val="bottom"/>
          </w:tcPr>
          <w:p>
            <w:pPr>
              <w:spacing w:after="0"/>
              <w:rPr>
                <w:sz w:val="14"/>
                <w:szCs w:val="14"/>
                <w:color w:val="auto"/>
              </w:rPr>
            </w:pPr>
          </w:p>
        </w:tc>
        <w:tc>
          <w:tcPr>
            <w:tcW w:w="8920" w:type="dxa"/>
            <w:vAlign w:val="bottom"/>
          </w:tcPr>
          <w:p>
            <w:pPr>
              <w:ind w:left="120"/>
              <w:spacing w:after="0"/>
              <w:rPr>
                <w:sz w:val="20"/>
                <w:szCs w:val="20"/>
                <w:color w:val="auto"/>
              </w:rPr>
            </w:pPr>
            <w:r>
              <w:rPr>
                <w:rFonts w:ascii="Arial" w:cs="Arial" w:eastAsia="Arial" w:hAnsi="Arial"/>
                <w:sz w:val="13"/>
                <w:szCs w:val="13"/>
                <w:color w:val="auto"/>
                <w:w w:val="98"/>
              </w:rPr>
              <w:t>The Company recorded the following material charges in the fourth quarter of its consolidated financial statements for the fiscal year ended March 31, 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92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Impact on loss before income tax expense for the quarterly period ended March 31, 2011:</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gridSpan w:val="2"/>
          </w:tcPr>
          <w:p>
            <w:pPr>
              <w:ind w:left="140"/>
              <w:spacing w:after="0"/>
              <w:rPr>
                <w:sz w:val="20"/>
                <w:szCs w:val="20"/>
                <w:color w:val="auto"/>
              </w:rPr>
            </w:pPr>
            <w:r>
              <w:rPr>
                <w:rFonts w:ascii="Arial" w:cs="Arial" w:eastAsia="Arial" w:hAnsi="Arial"/>
                <w:sz w:val="13"/>
                <w:szCs w:val="13"/>
                <w:color w:val="auto"/>
              </w:rPr>
              <w:t>Increase in provision for excess and obsolete inventory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61,216</w:t>
            </w:r>
          </w:p>
        </w:tc>
        <w:tc>
          <w:tcPr>
            <w:tcW w:w="0" w:type="dxa"/>
            <w:vAlign w:val="bottom"/>
          </w:tcPr>
          <w:p>
            <w:pPr>
              <w:spacing w:after="0"/>
              <w:rPr>
                <w:sz w:val="1"/>
                <w:szCs w:val="1"/>
                <w:color w:val="auto"/>
              </w:rPr>
            </w:pPr>
          </w:p>
        </w:tc>
      </w:tr>
      <w:tr>
        <w:trPr>
          <w:trHeight w:val="157"/>
        </w:trPr>
        <w:tc>
          <w:tcPr>
            <w:tcW w:w="9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Loss on purchase commitments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38,763</w:t>
            </w:r>
          </w:p>
        </w:tc>
        <w:tc>
          <w:tcPr>
            <w:tcW w:w="0" w:type="dxa"/>
            <w:vAlign w:val="bottom"/>
          </w:tcPr>
          <w:p>
            <w:pPr>
              <w:spacing w:after="0"/>
              <w:rPr>
                <w:sz w:val="1"/>
                <w:szCs w:val="1"/>
                <w:color w:val="auto"/>
              </w:rPr>
            </w:pPr>
          </w:p>
        </w:tc>
      </w:tr>
      <w:tr>
        <w:trPr>
          <w:trHeight w:val="157"/>
        </w:trPr>
        <w:tc>
          <w:tcPr>
            <w:tcW w:w="9200" w:type="dxa"/>
            <w:vAlign w:val="bottom"/>
            <w:gridSpan w:val="2"/>
          </w:tcPr>
          <w:p>
            <w:pPr>
              <w:ind w:left="140"/>
              <w:spacing w:after="0"/>
              <w:rPr>
                <w:sz w:val="20"/>
                <w:szCs w:val="20"/>
                <w:color w:val="auto"/>
              </w:rPr>
            </w:pPr>
            <w:r>
              <w:rPr>
                <w:rFonts w:ascii="Arial" w:cs="Arial" w:eastAsia="Arial" w:hAnsi="Arial"/>
                <w:sz w:val="13"/>
                <w:szCs w:val="13"/>
                <w:color w:val="auto"/>
              </w:rPr>
              <w:t>Goodwill and long-lived asset impairment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49,955</w:t>
            </w:r>
          </w:p>
        </w:tc>
        <w:tc>
          <w:tcPr>
            <w:tcW w:w="0" w:type="dxa"/>
            <w:vAlign w:val="bottom"/>
          </w:tcPr>
          <w:p>
            <w:pPr>
              <w:spacing w:after="0"/>
              <w:rPr>
                <w:sz w:val="1"/>
                <w:szCs w:val="1"/>
                <w:color w:val="auto"/>
              </w:rPr>
            </w:pPr>
          </w:p>
        </w:tc>
      </w:tr>
      <w:tr>
        <w:trPr>
          <w:trHeight w:val="157"/>
        </w:trPr>
        <w:tc>
          <w:tcPr>
            <w:tcW w:w="9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Write-off of prepaid value added taxes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3"/>
                <w:szCs w:val="13"/>
                <w:color w:val="auto"/>
              </w:rPr>
              <w:t>Total impact on loss before income tax expenses for the quarterly period ended March 31, 2011</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20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155,289</w:t>
            </w:r>
          </w:p>
        </w:tc>
        <w:tc>
          <w:tcPr>
            <w:tcW w:w="0" w:type="dxa"/>
            <w:vAlign w:val="bottom"/>
          </w:tcPr>
          <w:p>
            <w:pPr>
              <w:spacing w:after="0"/>
              <w:rPr>
                <w:sz w:val="1"/>
                <w:szCs w:val="1"/>
                <w:color w:val="auto"/>
              </w:rPr>
            </w:pPr>
          </w:p>
        </w:tc>
      </w:tr>
      <w:tr>
        <w:trPr>
          <w:trHeight w:val="333"/>
        </w:trPr>
        <w:tc>
          <w:tcPr>
            <w:tcW w:w="280" w:type="dxa"/>
            <w:vAlign w:val="bottom"/>
          </w:tcPr>
          <w:p>
            <w:pPr>
              <w:spacing w:after="0"/>
              <w:rPr>
                <w:sz w:val="20"/>
                <w:szCs w:val="20"/>
                <w:color w:val="auto"/>
              </w:rPr>
            </w:pPr>
            <w:r>
              <w:rPr>
                <w:rFonts w:ascii="Arial" w:cs="Arial" w:eastAsia="Arial" w:hAnsi="Arial"/>
                <w:sz w:val="13"/>
                <w:szCs w:val="13"/>
                <w:b w:val="1"/>
                <w:bCs w:val="1"/>
                <w:color w:val="auto"/>
              </w:rPr>
              <w:t>18.</w:t>
            </w:r>
          </w:p>
        </w:tc>
        <w:tc>
          <w:tcPr>
            <w:tcW w:w="8920" w:type="dxa"/>
            <w:vAlign w:val="bottom"/>
          </w:tcPr>
          <w:p>
            <w:pPr>
              <w:ind w:left="220"/>
              <w:spacing w:after="0"/>
              <w:rPr>
                <w:sz w:val="20"/>
                <w:szCs w:val="20"/>
                <w:color w:val="auto"/>
              </w:rPr>
            </w:pPr>
            <w:r>
              <w:rPr>
                <w:rFonts w:ascii="Arial" w:cs="Arial" w:eastAsia="Arial" w:hAnsi="Arial"/>
                <w:sz w:val="13"/>
                <w:szCs w:val="13"/>
                <w:b w:val="1"/>
                <w:bCs w:val="1"/>
                <w:color w:val="auto"/>
              </w:rPr>
              <w:t>Subsequent Events</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8920" w:type="dxa"/>
            <w:vAlign w:val="bottom"/>
          </w:tcPr>
          <w:p>
            <w:pPr>
              <w:ind w:left="120"/>
              <w:spacing w:after="0"/>
              <w:rPr>
                <w:sz w:val="20"/>
                <w:szCs w:val="20"/>
                <w:color w:val="auto"/>
              </w:rPr>
            </w:pPr>
            <w:r>
              <w:rPr>
                <w:rFonts w:ascii="Arial" w:cs="Arial" w:eastAsia="Arial" w:hAnsi="Arial"/>
                <w:sz w:val="13"/>
                <w:szCs w:val="13"/>
                <w:color w:val="auto"/>
              </w:rPr>
              <w:t>The Company has performed an evaluation of subsequent events through the time of filing this Annual Report on Form 10-K with the SEC.</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NASDAQ Notices</w:t>
      </w:r>
    </w:p>
    <w:p>
      <w:pPr>
        <w:spacing w:after="0" w:line="96"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On June 17, 2011, the Company received notice from the NASDAQ Stock Market (“NASDAQ”) stating that the Company is not in compliance with Listing Rule 5250(c)(1) for continued listing due to the Company’s inability to file with the SEC the Company’s Annual Report on Form 10-K for the year ended March 31, 2011 (the “Initial Delinquent Filing”) on a timely basis. The notification was issued in accordance with standard NASDAQ procedures and has no immediate effect on the listing or trading of the Company’s common stock on the NASDAQ Global Select Market. On August 16, 2011, the Company received notice from the NASDAQ stating that the Company is not in compliance with Listing Rule 5250(c)(1) for continued listing (i) due to the Company’s inability to file with the SEC the Company’s Quarterly Report on Form 10-Q for the period ended June 30, 2011, and (ii) because the Company remained delinquent in filing the Company’s Annual Report on Form 10-K for the period ended March 31, 2011. The notification was issued in accordance with standard NASDAQ procedures and had no immediate effect on the listing or trading of the Company’s common stock on the NASDAQ Global Select Market. Pursuant to NASDAQ’s letter dated June 17, 2011, which was disclosed in the Company’s Current Report on Form 8-K filed with the SEC on June 21, 2011, the Company had until August 16, 2011 to submit a plan to regain compliance with respect to the Initial Delinquent Filing. The NASDAQ letter dated August 16, 2011 indicated that the Company had until August 30, 2011 to submit an updated plan explaining how it expected to regain compliance. On August 16, 2011, the Company submitted its plan to regain compliance. On August 31, 2011, the Company was informed that NASDAQ had granted an exception to its rules to enable the Company to regain compliance by September 30, 2011. With the filing of the Quarterly Report on Form 10-Q for the quarter ended June 30, 2011, the Annual Report on Form 10-K for the year ended March 31, 2011 and the Amended Quarterly Reports on Form 10-Q as of and for the quarters ended September 30, 2010 and December 31, 2010 and subject to receipt of a confirmation of compliance, the Company will be in compliance with the NASDAQ listing requirements.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Planned Acquisition of “The Switch”</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On March 12, 2011, the Company entered into a Share Purchase Agreement (the “Agreement”), by and among the Company and the shareholders of The Switch Engineering Oy, a power technologies company headquartered in Finland (“The Switch”).</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June 29, 2011, the Company entered into an amendment agreement (the “Amendment”), by and among the Company and the shareholders (the “Shareholders”) of The Switch, amending the Agreement. Pursuant to the Agreement, as amended by the Amendment, the Company has agreed to acquire all of the outstanding shares of The Switch for an aggregate purchase price (based on an exchange rate of $1.44 per Euro) of (i) $273.6 million, payable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308" w:lineRule="auto"/>
        <w:rPr>
          <w:sz w:val="20"/>
          <w:szCs w:val="20"/>
          <w:color w:val="auto"/>
        </w:rPr>
      </w:pPr>
      <w:r>
        <w:rPr>
          <w:rFonts w:ascii="Arial" w:cs="Arial" w:eastAsia="Arial" w:hAnsi="Arial"/>
          <w:sz w:val="11"/>
          <w:szCs w:val="11"/>
          <w:color w:val="auto"/>
        </w:rPr>
        <w:t>as follows: (1) $20.6 million in cash in the form of an advance payment (the “Advance Payment”), which was paid on June 29, 2011 and is classified as advance payment for planned acquisition on the unaudited condensed consolidated balance sheet as of June 30, 2011, (2) $171.0 million in cash at the closing of the acquisition and (3) the issuance at the closing of the acquisition shares of our common stock, $0.01 par value per share, with a value of $82.1 million based on the average closing price of the common stock during the 20 trading days preceding the second business day prior to the closing of the acquisition and the U.S. dollar to euro exchange rate on the second business day prior to the closing of the acquisition, and (ii) in the event closing occurs after September 1, 2011, interest at an annual rate of 4% on $171.0 million, accruing from September 1, 2011 to and including the closing date, payable in cash at the closing of the acquisition. In the event that the total number of shares of common stock issuable to the shareholders of The Switch exceeds 19.9% of the total number of shares of common stock outstanding prior to such issuance, in lieu of the issuance of such excess shares, the Company agreed to pay additional cash at the closing to the Minor Sellers (as defined in the Agreement) and issue to the remaining shareholders unsecured promissory notes for such excess amount, payable on the first business day after the first anniversary of the closing date.</w:t>
      </w:r>
    </w:p>
    <w:p>
      <w:pPr>
        <w:spacing w:after="0" w:line="48"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Pursuant to the Amendment, the parties agreed that the escrow would terminate on June 10, 2012 rather than twelve months after the closing date. The parties also agreed that the closing would take place on the tenth business day after the date on which the Company informs the Shareholders that a financing resulting in post-acquisition net cash available to the Company of at least $100 million has been completed, provided that all other closing conditions have been satisfied or waived. In addition, pursuant to the Amendment, the parties agreed that the Advance Payment shall constitute a termination fee payable to the Shareholders in the event the Agreement, as amended by the Amendment, is terminated should the closing not take place on or before September 30, 2011 (subject to extension for up to two one-month periods, as described in Section 6.6), or 10 business days thereafter in the case of a breach and/or failure to remedy by the Shareholders under Section 6.3.1, (i) by the Shareholders pursuant to Section 6.6(i), or (ii) the Company pursuant to Section 6.6(ii) (which, in the case of Sections 6.6(i) and 6.6(ii), includes upon the occurrence of a Failed Financing Event (as defined in the Amendment) and, in the case of Section 6.6(ii), upon the occurrence of a Material Adverse Effect (as defined in the Share Purchase Agreement)). Upon any such termination and retention by the Shareholders of the Advance Payment, the parties shall have no right to make any further claims against each other.</w:t>
      </w:r>
    </w:p>
    <w:p>
      <w:pPr>
        <w:spacing w:after="0" w:line="6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will require proceeds from an additional financing to finance the planned acquisition of The Switch. Closing of the transaction, which has been approved by both companies’ Boards of Directors, is subject to customary closing conditions.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Chief Executive Officer Transition</w:t>
      </w:r>
    </w:p>
    <w:p>
      <w:pPr>
        <w:spacing w:after="0" w:line="96"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On May 24, 2011, the Company announced that Daniel P. McGahn, President and Chief Operating Officer, had been appointed Chief Executive Officer and a member of the Board of Directors, effective June 1, 2011. Mr. McGahn succeeds Gregory J. Yurek, who resigned from his position as Chief Executive Officer of the Company, effective on June 1, 2011. In connection with his retirement and resignation, the Company entered into a retirement and services agreement (the “Agreement”) with Mr. Yurek pursuant to which Mr. Yurek will serve as a senior advisor to the Company for up to 24 months. The Agreement includes a general release of claims and customary non-compete and non-solicit covenants for the three-year period ending May 31, 2014. Pursuant to this agreement, Mr. Yurek is entitled to receive the following payments and benefits: (i) a total of $2.0 million in cash, of which $83,333 is payable on the final day of each month from June 2011 to August 2012, $50,000 is payable on the final day of September 2012, and $50,000 is payable on the final day of each month from April 2013 to May 2014; and (ii) continued group medical, dental and vision insurance coverage through May 31, 2014. In accordance with the terms of Mr. Yurek’s outstanding stock option and restricted stock agreements, the outstanding restricted stock that is unvested as of June 1, 2011 will be forfeited and the outstanding stock options will continue to vest for so long as he continues to serve as an advisor to the Company. Thereafter, any remaining unvested portions of Mr. Yurek’s stock options will be cancelled for no consideration. Mr. Yurek agreed to remain as Chairman of the Board until the</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annual meeting of stockholders or August 15, 2011, whichever occurred first; and will not stand for reelection to the Board at the annual meeting. Mr. Yurek ceased serving as our Chairman of the Board on August 15, 2011. The Agreement replaces and supersedes the Amended and Restated Executive Severance Agreement, dated as of December 23, 2008, between the Company and Mr. Yurek.</w:t>
      </w:r>
    </w:p>
    <w:p>
      <w:pPr>
        <w:spacing w:after="0" w:line="67"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The Company recorded costs of $2.7 million within selling, general and administrative expenses of the unaudited condensed consolidated statements of operations for the three months ended June 30, 2011 which consist of $2.1 million severance benefits under the Agreement and $0.6 million of stock compensation expense related to outstanding stock options.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The Company initiated a restructuring plan in August 2011 (the “2011 Plan”) to reorganize global operations, streamline various functions of the business, and reduce its global workforce to match the demand for its products. The 2011 Plan resulted in a headcount reduction of approximately 150 employees. Coinciding with the 2011 Plan, on August 8, 2011, the Company and Charles W. Stankiewicz, Executive Vice President, Operations and Grid Segment, and Angelo R. Santamaria, Senior Vice President, Global Manufacturing Operations, mutually agreed to end their employment effective on August 23, 2011 and August 12, 2011, respectively. From April 1, 2011 through the date of this filing, the Company has reduced its global workforce by approximately 30%, which is expected to result in annual savings of approximately $30.0 million. As a result of the 2011 Plan, the Company expects to recognize restructuring charges of $3.0 million to $4.0 million in the second quarter of fiscal 2011. These charges primarily relate to severance costs and are expected to be paid through fiscal 2012.</w:t>
      </w:r>
    </w:p>
    <w:p>
      <w:pPr>
        <w:spacing w:after="0" w:line="134"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 xml:space="preserve">In October 2009, the FASB issued Accounting Standards Update (ASU) No. 2009-13, </w:t>
      </w:r>
      <w:r>
        <w:rPr>
          <w:rFonts w:ascii="Arial" w:cs="Arial" w:eastAsia="Arial" w:hAnsi="Arial"/>
          <w:sz w:val="13"/>
          <w:szCs w:val="13"/>
          <w:i w:val="1"/>
          <w:iCs w:val="1"/>
          <w:color w:val="auto"/>
        </w:rPr>
        <w:t>Multiple-Deliverable Revenue Arrangements,</w:t>
      </w:r>
      <w:r>
        <w:rPr>
          <w:rFonts w:ascii="Arial" w:cs="Arial" w:eastAsia="Arial" w:hAnsi="Arial"/>
          <w:sz w:val="13"/>
          <w:szCs w:val="13"/>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or third-party evidence of the selling prices, consideration must be allocated to the deliverables based on management’s best estimate of the selling prices. In addition, the new standard eliminates the use of the residual method of allocation. The new accounting standard supersedes the prior multiple element revenue arrangement accounting rules that were previously used by the Company. The Company adopted this new accounting standard on April 1, 2010 using the prospective method and the adoption did not have a material impact on its consolidated financial statements.</w:t>
      </w:r>
    </w:p>
    <w:p>
      <w:pPr>
        <w:spacing w:after="0" w:line="72"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 xml:space="preserve">In January 2010, the Company adopted Accounting Standards Update (ASU) No. 2010-06, </w:t>
      </w:r>
      <w:r>
        <w:rPr>
          <w:rFonts w:ascii="Arial" w:cs="Arial" w:eastAsia="Arial" w:hAnsi="Arial"/>
          <w:sz w:val="12"/>
          <w:szCs w:val="12"/>
          <w:i w:val="1"/>
          <w:iCs w:val="1"/>
          <w:color w:val="auto"/>
        </w:rPr>
        <w:t>Fair Value Measurements and Disclosures (Topic 820): Improving Disclosures about Fair</w:t>
      </w:r>
      <w:r>
        <w:rPr>
          <w:rFonts w:ascii="Arial" w:cs="Arial" w:eastAsia="Arial" w:hAnsi="Arial"/>
          <w:sz w:val="12"/>
          <w:szCs w:val="12"/>
          <w:color w:val="auto"/>
        </w:rPr>
        <w:t xml:space="preserve"> </w:t>
      </w:r>
      <w:r>
        <w:rPr>
          <w:rFonts w:ascii="Arial" w:cs="Arial" w:eastAsia="Arial" w:hAnsi="Arial"/>
          <w:sz w:val="12"/>
          <w:szCs w:val="12"/>
          <w:i w:val="1"/>
          <w:iCs w:val="1"/>
          <w:color w:val="auto"/>
        </w:rPr>
        <w:t>Value Measurements</w:t>
      </w:r>
      <w:r>
        <w:rPr>
          <w:rFonts w:ascii="Arial" w:cs="Arial" w:eastAsia="Arial" w:hAnsi="Arial"/>
          <w:sz w:val="12"/>
          <w:szCs w:val="12"/>
          <w:color w:val="auto"/>
        </w:rPr>
        <w:t>. This standard amends the disclosure guidance with respect to fair value measurements for both interim and annual reporting periods. Specifically, this standard requires</w:t>
      </w:r>
      <w:r>
        <w:rPr>
          <w:rFonts w:ascii="Arial" w:cs="Arial" w:eastAsia="Arial" w:hAnsi="Arial"/>
          <w:sz w:val="12"/>
          <w:szCs w:val="12"/>
          <w:i w:val="1"/>
          <w:iCs w:val="1"/>
          <w:color w:val="auto"/>
        </w:rPr>
        <w:t xml:space="preserve"> </w:t>
      </w:r>
      <w:r>
        <w:rPr>
          <w:rFonts w:ascii="Arial" w:cs="Arial" w:eastAsia="Arial" w:hAnsi="Arial"/>
          <w:sz w:val="12"/>
          <w:szCs w:val="12"/>
          <w:color w:val="auto"/>
        </w:rPr>
        <w:t>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The Company has included these new disclosures, as applicable, in Note 3, “Marketable Securities and Fair Value Disclosures,” of the consolidated financial statements.</w:t>
      </w:r>
    </w:p>
    <w:p>
      <w:pPr>
        <w:spacing w:after="0" w:line="55"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 xml:space="preserve">In December 2010, the FASB issued Accounting Standards Update (ASU) No. 2010-29, </w:t>
      </w:r>
      <w:r>
        <w:rPr>
          <w:rFonts w:ascii="Arial" w:cs="Arial" w:eastAsia="Arial" w:hAnsi="Arial"/>
          <w:sz w:val="13"/>
          <w:szCs w:val="13"/>
          <w:i w:val="1"/>
          <w:iCs w:val="1"/>
          <w:color w:val="auto"/>
        </w:rPr>
        <w:t>Business Combinations (Topic 805), Disclosure of Supplementary Pro forma Information for</w:t>
      </w:r>
      <w:r>
        <w:rPr>
          <w:rFonts w:ascii="Arial" w:cs="Arial" w:eastAsia="Arial" w:hAnsi="Arial"/>
          <w:sz w:val="13"/>
          <w:szCs w:val="13"/>
          <w:color w:val="auto"/>
        </w:rPr>
        <w:t xml:space="preserve"> </w:t>
      </w:r>
      <w:r>
        <w:rPr>
          <w:rFonts w:ascii="Arial" w:cs="Arial" w:eastAsia="Arial" w:hAnsi="Arial"/>
          <w:sz w:val="13"/>
          <w:szCs w:val="13"/>
          <w:i w:val="1"/>
          <w:iCs w:val="1"/>
          <w:color w:val="auto"/>
        </w:rPr>
        <w:t>Business Combinations a consensus of the FASB Emerging Issues Task Force (ASC 2010-29)</w:t>
      </w:r>
      <w:r>
        <w:rPr>
          <w:rFonts w:ascii="Arial" w:cs="Arial" w:eastAsia="Arial" w:hAnsi="Arial"/>
          <w:sz w:val="13"/>
          <w:szCs w:val="13"/>
          <w:color w:val="auto"/>
        </w:rPr>
        <w:t>. This amendment clarifies the periods for which pro forma financial information is presented.</w:t>
      </w:r>
      <w:r>
        <w:rPr>
          <w:rFonts w:ascii="Arial" w:cs="Arial" w:eastAsia="Arial" w:hAnsi="Arial"/>
          <w:sz w:val="13"/>
          <w:szCs w:val="13"/>
          <w:i w:val="1"/>
          <w:iCs w:val="1"/>
          <w:color w:val="auto"/>
        </w:rPr>
        <w:t xml:space="preserve"> </w:t>
      </w:r>
      <w:r>
        <w:rPr>
          <w:rFonts w:ascii="Arial" w:cs="Arial" w:eastAsia="Arial" w:hAnsi="Arial"/>
          <w:sz w:val="13"/>
          <w:szCs w:val="13"/>
          <w:color w:val="auto"/>
        </w:rPr>
        <w:t>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Company does not expect the adoption of ASU 2011-04 to have a material impact on the Company’s consolidated results of operations, financial condition, or cash flows.</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 xml:space="preserve">In June 2011, the FASB issued Accounting Standards Update (ASU) No. 2011-05, </w:t>
      </w:r>
      <w:r>
        <w:rPr>
          <w:rFonts w:ascii="Arial" w:cs="Arial" w:eastAsia="Arial" w:hAnsi="Arial"/>
          <w:sz w:val="13"/>
          <w:szCs w:val="13"/>
          <w:i w:val="1"/>
          <w:iCs w:val="1"/>
          <w:color w:val="auto"/>
        </w:rPr>
        <w:t>Comprehensive Income (Topic 220): Presentation of Comprehensive Income</w:t>
      </w:r>
      <w:r>
        <w:rPr>
          <w:rFonts w:ascii="Arial" w:cs="Arial" w:eastAsia="Arial" w:hAnsi="Arial"/>
          <w:sz w:val="13"/>
          <w:szCs w:val="13"/>
          <w:color w:val="auto"/>
        </w:rPr>
        <w:t>.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The Company does not expect the adoption of ASU 2011-04 to have a material impact on the Company’s consolidated results of operations, financial condition, or cash flows.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On March 31, 2011, Sinovel, our largest customer, refused to accept scheduled shipments from us. This action, combined with aging receivables from Sinovel and certain of our other customers in China, prompted us to re-evaluate our accounting judgments around revenue recognition and accounts receivable and the effectiveness of our internal control over financial reporting. This re-evaluation included an internal review of documents and interviews with management and other personnel with the assistance of external counsel. As a result, we determined that revenues and accounts receivable were incorrectly recorded in the second quarter of fiscal 2010 for certain of our customers in China as the fee for shipments of products to these customers was not fixed or determinable or collectability was not reasonably assured at the time of shipment. Further, we concluded that revenue and accounts receivable related to shipments to Sinovel were incorrectly recorded in the third quarter of fiscal 2010 as collectability was not reasonably assured at the time of shipment. As a result of this re-evaluation, on July 6, 2011 the Audit Committee of the Board of Directors concluded that the financial statements contained in our previously filed Quarterly Reports on Form 10-Q for the quarters ended September 30, 2010 and December 31, 2010 should no longer be relied upon.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of March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our disclosure controls and procedures were not effective as of March 31, 2011 because of the material weaknesses in internal control over financial reporting discussed below.</w:t>
      </w:r>
    </w:p>
    <w:p>
      <w:pPr>
        <w:spacing w:after="0" w:line="6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Notwithstanding the material weaknesses described below, management believes that the consolidated financial statements included in this Annual Report on Form 10-K fairly present, in all material respects, the financial position of American Superconductor Corporation and subsidiaries at March 31, 2011 and 2010 and their consolidated results of operations and cash flows for each of the three years in the period ended March 31, 2011 in conformity with accounting principles generally accepted in the United States (“GAAP”).</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Rules 13a-15(f) and 15d-15(f) of the Exchange Act. Internal control over financial reporting is a process designed to provide reasonable assurance regarding the reliability of financial reporting and the preparation of financial statements in accordance with GAAP, and includes those policies and procedures that:</w:t>
      </w:r>
    </w:p>
    <w:p>
      <w:pPr>
        <w:spacing w:after="0" w:line="67" w:lineRule="exact"/>
        <w:rPr>
          <w:sz w:val="20"/>
          <w:szCs w:val="20"/>
          <w:color w:val="auto"/>
        </w:rPr>
      </w:pPr>
    </w:p>
    <w:p>
      <w:pPr>
        <w:ind w:left="5580" w:right="1980" w:hanging="4111"/>
        <w:spacing w:after="0" w:line="750" w:lineRule="auto"/>
        <w:tabs>
          <w:tab w:leader="none" w:pos="16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assets;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9"/>
        <w:spacing w:after="0" w:line="276" w:lineRule="auto"/>
        <w:tabs>
          <w:tab w:leader="none" w:pos="16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p>
      <w:pPr>
        <w:spacing w:after="0" w:line="59" w:lineRule="exact"/>
        <w:rPr>
          <w:rFonts w:ascii="Arial" w:cs="Arial" w:eastAsia="Arial" w:hAnsi="Arial"/>
          <w:sz w:val="13"/>
          <w:szCs w:val="13"/>
          <w:color w:val="auto"/>
        </w:rPr>
      </w:pPr>
    </w:p>
    <w:p>
      <w:pPr>
        <w:ind w:left="1080" w:firstLine="389"/>
        <w:spacing w:after="0" w:line="276" w:lineRule="auto"/>
        <w:tabs>
          <w:tab w:leader="none" w:pos="16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assets that could have a material effect on the financial statements.</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 xml:space="preserve">Under the supervision and with participation of our management, including our Chief Executive Officer and Chief Financial Officer, an evaluation was conducted over the effectiveness of our internal control over financial reporting as of March 31, 2011. Management’s assessment of internal control over financial reporting was conducted using the criteria in </w:t>
      </w:r>
      <w:r>
        <w:rPr>
          <w:rFonts w:ascii="Arial" w:cs="Arial" w:eastAsia="Arial" w:hAnsi="Arial"/>
          <w:sz w:val="13"/>
          <w:szCs w:val="13"/>
          <w:i w:val="1"/>
          <w:iCs w:val="1"/>
          <w:color w:val="auto"/>
        </w:rPr>
        <w:t xml:space="preserve">Internal Control </w:t>
      </w:r>
      <w:r>
        <w:rPr>
          <w:rFonts w:ascii="Arial" w:cs="Arial" w:eastAsia="Arial" w:hAnsi="Arial"/>
          <w:sz w:val="13"/>
          <w:szCs w:val="13"/>
          <w:color w:val="auto"/>
        </w:rPr>
        <w:t>—</w:t>
      </w:r>
      <w:r>
        <w:rPr>
          <w:rFonts w:ascii="Arial" w:cs="Arial" w:eastAsia="Arial" w:hAnsi="Arial"/>
          <w:sz w:val="13"/>
          <w:szCs w:val="13"/>
          <w:i w:val="1"/>
          <w:iCs w:val="1"/>
          <w:color w:val="auto"/>
        </w:rPr>
        <w:t xml:space="preserve"> Integrated Framework </w:t>
      </w:r>
      <w:r>
        <w:rPr>
          <w:rFonts w:ascii="Arial" w:cs="Arial" w:eastAsia="Arial" w:hAnsi="Arial"/>
          <w:sz w:val="13"/>
          <w:szCs w:val="13"/>
          <w:color w:val="auto"/>
        </w:rPr>
        <w:t>issued by the Committee of Sponsoring Organizations. Based on that evaluation, management concluded that our internal control over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reporting was not effective as of March 31, 2011 due to the material weaknesses in internal control described below.</w:t>
      </w:r>
    </w:p>
    <w:p>
      <w:pPr>
        <w:spacing w:after="0" w:line="7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effectiveness of the Company’s internal control over financial reporting as of March 31, 2011 has been audited by PricewaterhouseCoopers LLP, an independent registered public accounting firm, as stated in their report, which is included in Item 8 of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Weaknesses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9"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We did not maintain effective controls over our revenues and accounts receivable balances as fees were not fixed or determinable or collectability was not reasonably assured at the time revenue was recognized. These errors resulted in the restatement of our unaudited condensed consolidated financial statements for each of the quarters ended September 30, 2010 and December 31, 2010. In addition, the filing of our Annual Report on Form 10-K for the fiscal year ended March 31, 2011 and Quarterly Report on Form 10-Q for the quarterly period ended June 30, 2011 was delayed. Additionally, these control deficiencies could result in misstatements of the aforementioned account balances and disclosures that would result in material misstatement of the consolidated financial statements that would not be prevented or detected. Accordingly, our management has determined that each of these control deficiencies constitutes a material weakness. The specific material weaknesses are:</w:t>
      </w:r>
    </w:p>
    <w:p>
      <w:pPr>
        <w:spacing w:after="0" w:line="72" w:lineRule="exact"/>
        <w:rPr>
          <w:sz w:val="20"/>
          <w:szCs w:val="20"/>
          <w:color w:val="auto"/>
        </w:rPr>
      </w:pPr>
    </w:p>
    <w:p>
      <w:pPr>
        <w:ind w:left="12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did not maintain adequate controls to ensure proper monitoring and evaluation of customer creditworthiness, including the collectability of amounts due from customers and appropriate revenue recognition;</w:t>
      </w:r>
    </w:p>
    <w:p>
      <w:pPr>
        <w:spacing w:after="0" w:line="49"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25"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Remediation Plan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 the process of developing a detailed plan for remediation of the above material weaknesses and have undertaken the following initiatives:</w:t>
      </w:r>
    </w:p>
    <w:p>
      <w:pPr>
        <w:spacing w:after="0" w:line="96"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establishing formal, written policies and procedures governing the customer credit process;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improving procedures to ensure the proper review and documentation of customer creditworthiness;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establishing a new worldwide revenue manager position in finance with GAAP experience to ensure accuracy of 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improving procedures to ensure the proper communication, approval and accounting review of deviations from sales contracts;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providing additional and on-going training to product managers and others involved in negotiating contractual arrangements and accounting for revenue transactions, in order to heighten awareness of revenue recognition concepts under GAAP; and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improving the internal communication process for senior management. During monthly operations reviews time will be devoted to senior management review of pending operational and accounting issues for the current quarter.</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Management is committed to a strong internal control environment and believes that, when fully implemented and tested, the measures described above will improve our internal control over financial reporting. We will continue to assess the effectiveness of our remediation efforts in connection with our future assessments of the effectiveness of internal control over financial reporting.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Other than the material weaknesses described above, there have been no changes in our internal control over financial reporting during the quarter ended March 31, 2011 that have materially affected, or are reasonably likely to materially affect, our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About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Information regarding our executive officers is included in Part I of this Annual Report on Form 10-K under the heading “Executive Officers of the Registrant,” as permitted by Instruction 3 to Item 401(b) of Regulation S-K.</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Set forth below, for each director, are his or her name and age, his or her positions (if any) with us, his or her principal occupation and business experience during the past five years, the names of other public companies of which he or she has served as a director during the past five years, the specific experience, qualifications, attributes or skills that led to the conclusion that the person should serve as a director and the year of the commencement of his or her term as a director of American Superconductor.</w:t>
      </w:r>
    </w:p>
    <w:p>
      <w:pPr>
        <w:spacing w:after="0" w:line="67"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i w:val="1"/>
          <w:iCs w:val="1"/>
          <w:color w:val="auto"/>
        </w:rPr>
        <w:t>Daniel P. McGahn</w:t>
      </w:r>
      <w:r>
        <w:rPr>
          <w:rFonts w:ascii="Arial" w:cs="Arial" w:eastAsia="Arial" w:hAnsi="Arial"/>
          <w:sz w:val="12"/>
          <w:szCs w:val="12"/>
          <w:color w:val="auto"/>
        </w:rPr>
        <w:t>, age 40, has been our chief executive officer since June 2011 and president since December 2009. Mr. McGahn also served as chief operating officer from</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2009 until May 2011, as senior vice president and general manager of our AMSC Superconductors business unit from May 2008 until December 2009 and vice president of our AMSC Superconductors business unit from January 2008 to May 2008. Previously, Mr. McGahn was vice president of strategic planning and development from December 2006 to January 2008. From 2003 to 2006, Mr. McGahn served as executive vice president and chief marketing officer of Konarka Technologies, which develops and commercializes Konarka Power Plastic</w:t>
      </w:r>
      <w:r>
        <w:rPr>
          <w:rFonts w:ascii="Arial" w:cs="Arial" w:eastAsia="Arial" w:hAnsi="Arial"/>
          <w:sz w:val="10"/>
          <w:szCs w:val="10"/>
          <w:color w:val="auto"/>
        </w:rPr>
        <w:t>®</w:t>
      </w:r>
      <w:r>
        <w:rPr>
          <w:rFonts w:ascii="Arial" w:cs="Arial" w:eastAsia="Arial" w:hAnsi="Arial"/>
          <w:sz w:val="12"/>
          <w:szCs w:val="12"/>
          <w:color w:val="auto"/>
        </w:rPr>
        <w:t>, a material that converts light to electricity. We believe Mr. McGahn’s qualifications to sit on our Board include his extensive experience with the Company, including serving as our president since December 2009, experience in the power electronics industry and strategic planning expertise gained while working in senior management and as a consultant for other public and private companies. Mr. McGahn has been a director of the Company since June 2011.</w:t>
      </w:r>
    </w:p>
    <w:p>
      <w:pPr>
        <w:spacing w:after="0" w:line="58"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i w:val="1"/>
          <w:iCs w:val="1"/>
          <w:color w:val="auto"/>
        </w:rPr>
        <w:t>John W. Wood, Jr.</w:t>
      </w:r>
      <w:r>
        <w:rPr>
          <w:rFonts w:ascii="Arial" w:cs="Arial" w:eastAsia="Arial" w:hAnsi="Arial"/>
          <w:sz w:val="12"/>
          <w:szCs w:val="12"/>
          <w:color w:val="auto"/>
        </w:rPr>
        <w:t>, age 67, has been chairman of our Board since August 2011 and is currently an independent consultant. He served as chief executive officer of Analogic</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Corporation, a designer and manufacturer of medical imaging and security systems, from 2003 through 2006. Prior to joining Analogic, he held senior executive positions over a 22-year career at Thermo Electron Corporation. Most recently, Mr. Wood served as president of Peek Ltd., a division of Thermo Electron Corporation, and as a senior vice president of the parent company. He previously served as president and chief executive officer of Thermedics, a subsidiary of Thermo Electron. Mr. Wood is a director of FLIR Systems, Inc., which is a publicly traded company, and ESCO Corporation, which is a privately held company. We believe Mr. Wood’s qualifications to sit on our Board include his extensive executive-level management experience and significant financial experience. Mr. Wood has been a director of the Company since December 2006.</w:t>
      </w:r>
    </w:p>
    <w:p>
      <w:pPr>
        <w:spacing w:after="0" w:line="59"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i w:val="1"/>
          <w:iCs w:val="1"/>
          <w:color w:val="auto"/>
        </w:rPr>
        <w:t>Vikram S. Budhraja</w:t>
      </w:r>
      <w:r>
        <w:rPr>
          <w:rFonts w:ascii="Arial" w:cs="Arial" w:eastAsia="Arial" w:hAnsi="Arial"/>
          <w:sz w:val="12"/>
          <w:szCs w:val="12"/>
          <w:color w:val="auto"/>
        </w:rPr>
        <w:t>, age 63, has been president of Electric Power Group, LLC, a Pasadena, California-based consulting firm that provides management and strategic consulting</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synchrophasor technology applications, and power grid reliability monitoring solutions to the electric power industry, since January 2000. From 1977 to January 2000, Mr. Budhraja served in several key senior management positions at Edison International, the parent company of Southern California Edison, including: president of Edison Technology Solutions; senior vice president and head of the Power Grid Business Unit of Southern California Edison; and vice president of System Planning, Fuels and Operations of Southern California Edison. He is a founding member of the Consortium for Electric Reliability Technology Solutions (CERTS) and worked with the U.S.-Canadian Power Systems Outage Task Force that was formed to investigate the root causes of the August 14, 2003 power blackout in the Northeast. Mr. Budhraja has previously served as a director of several organizations, including the California Independent System Operator Corporation and SoftSwitching Technologies. We believe Mr. Budhraja’s qualifications to sit on our Board include his extensive operational knowledge of, and executive level management experience in, the electric power industry. Mr. Budhraja has been a director of the Company since 2004.</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i w:val="1"/>
          <w:iCs w:val="1"/>
          <w:color w:val="auto"/>
        </w:rPr>
        <w:t>Peter O. Crisp</w:t>
      </w:r>
      <w:r>
        <w:rPr>
          <w:rFonts w:ascii="Arial" w:cs="Arial" w:eastAsia="Arial" w:hAnsi="Arial"/>
          <w:sz w:val="12"/>
          <w:szCs w:val="12"/>
          <w:color w:val="auto"/>
        </w:rPr>
        <w:t>, age 78, served as vice chairman of Rockefeller Financial Services, Inc., a financial services firm, from December 1997 until September 2004. From 1969 to 1997, he</w:t>
      </w:r>
      <w:r>
        <w:rPr>
          <w:rFonts w:ascii="Arial" w:cs="Arial" w:eastAsia="Arial" w:hAnsi="Arial"/>
          <w:sz w:val="12"/>
          <w:szCs w:val="12"/>
          <w:i w:val="1"/>
          <w:iCs w:val="1"/>
          <w:color w:val="auto"/>
        </w:rPr>
        <w:t xml:space="preserve"> </w:t>
      </w:r>
      <w:r>
        <w:rPr>
          <w:rFonts w:ascii="Arial" w:cs="Arial" w:eastAsia="Arial" w:hAnsi="Arial"/>
          <w:sz w:val="12"/>
          <w:szCs w:val="12"/>
          <w:color w:val="auto"/>
        </w:rPr>
        <w:t>was a general partner of Venrock Associates, a venture capital firm based in New York. Mr. Crisp served as a director of United States Trust Corporation until August</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2004. He is currently a director of several private companies. We believe Mr. Crisp’s qualifications to sit on our Board include his valuable corporate governance experience gained while serving as a director for 43 public and private companies, as well as his strategic planning expertise gained while counseling numerous Fortune 500 companies. Mr. Crisp has been a director of the Company since 1987.</w:t>
      </w:r>
    </w:p>
    <w:p>
      <w:pPr>
        <w:spacing w:after="0" w:line="67" w:lineRule="exact"/>
        <w:rPr>
          <w:sz w:val="20"/>
          <w:szCs w:val="20"/>
          <w:color w:val="auto"/>
        </w:rPr>
      </w:pPr>
    </w:p>
    <w:p>
      <w:pPr>
        <w:jc w:val="both"/>
        <w:ind w:left="680" w:firstLine="399"/>
        <w:spacing w:after="0" w:line="312" w:lineRule="auto"/>
        <w:rPr>
          <w:sz w:val="20"/>
          <w:szCs w:val="20"/>
          <w:color w:val="auto"/>
        </w:rPr>
      </w:pPr>
      <w:r>
        <w:rPr>
          <w:rFonts w:ascii="Arial" w:cs="Arial" w:eastAsia="Arial" w:hAnsi="Arial"/>
          <w:sz w:val="11"/>
          <w:szCs w:val="11"/>
          <w:i w:val="1"/>
          <w:iCs w:val="1"/>
          <w:color w:val="auto"/>
        </w:rPr>
        <w:t>Richard Drouin</w:t>
      </w:r>
      <w:r>
        <w:rPr>
          <w:rFonts w:ascii="Arial" w:cs="Arial" w:eastAsia="Arial" w:hAnsi="Arial"/>
          <w:sz w:val="11"/>
          <w:szCs w:val="11"/>
          <w:color w:val="auto"/>
        </w:rPr>
        <w:t>, age 79, is counsel at McCarthy Tétrault LLP, a Canadian law firm. Mr. Drouin was the chairman and chief executive officer of Hydro-Quebec, a public electric utility</w:t>
      </w:r>
      <w:r>
        <w:rPr>
          <w:rFonts w:ascii="Arial" w:cs="Arial" w:eastAsia="Arial" w:hAnsi="Arial"/>
          <w:sz w:val="11"/>
          <w:szCs w:val="11"/>
          <w:i w:val="1"/>
          <w:iCs w:val="1"/>
          <w:color w:val="auto"/>
        </w:rPr>
        <w:t xml:space="preserve"> </w:t>
      </w:r>
      <w:r>
        <w:rPr>
          <w:rFonts w:ascii="Arial" w:cs="Arial" w:eastAsia="Arial" w:hAnsi="Arial"/>
          <w:sz w:val="11"/>
          <w:szCs w:val="11"/>
          <w:color w:val="auto"/>
        </w:rPr>
        <w:t>based in Canada, from April 1988 to September 1995. From September 1999 to February 2009, he was also chairman of the North American Electric Reliability Organization which oversees the reliability of the Bulk Power Transmission Systems in North America. He is chairman of the board of Stonebridge Financial. He is a director of the British Airport Authority in London, Gesca Limitée in Montreal, and President’s Choice Bank in Toronto. He was also chairman of the board of the World Energy Congress which was held in Montreal in September 2010. He is Honorary Consul for Great Britain in Quebec. We believe Mr. Drouin’s qualifications to sit on our Board include his experience serving as a director for other public and private companies and his extensive legal skill and expertise developed as counsel to public and private companies over the past 35 years. Mr. Drouin has been a director of the Company since 1996.</w:t>
      </w:r>
    </w:p>
    <w:p>
      <w:pPr>
        <w:spacing w:after="0" w:line="45"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i w:val="1"/>
          <w:iCs w:val="1"/>
          <w:color w:val="auto"/>
        </w:rPr>
        <w:t>Pamela F. Lenehan</w:t>
      </w:r>
      <w:r>
        <w:rPr>
          <w:rFonts w:ascii="Arial" w:cs="Arial" w:eastAsia="Arial" w:hAnsi="Arial"/>
          <w:sz w:val="12"/>
          <w:szCs w:val="12"/>
          <w:color w:val="auto"/>
        </w:rPr>
        <w:t>, age 59, has been president of Ridge Hill Consulting, a strategy and financial consulting firm, since June 2002. From September 2001 until June 2002,</w:t>
      </w:r>
      <w:r>
        <w:rPr>
          <w:rFonts w:ascii="Arial" w:cs="Arial" w:eastAsia="Arial" w:hAnsi="Arial"/>
          <w:sz w:val="12"/>
          <w:szCs w:val="12"/>
          <w:i w:val="1"/>
          <w:iCs w:val="1"/>
          <w:color w:val="auto"/>
        </w:rPr>
        <w:t xml:space="preserve"> </w:t>
      </w:r>
      <w:r>
        <w:rPr>
          <w:rFonts w:ascii="Arial" w:cs="Arial" w:eastAsia="Arial" w:hAnsi="Arial"/>
          <w:sz w:val="12"/>
          <w:szCs w:val="12"/>
          <w:color w:val="auto"/>
        </w:rPr>
        <w:t>Ms. Lenehan was self-employed as a private investor. From March 2000 until September 2001, she served as vice president and chief financial officer of Convergent Networks, Inc., a manufacturer of switching equipment. From February 1995 until January 2000, she was senior vice president of corporate development and treasurer of Oak Industries, Inc., a manufacturer of telecommunications components until it was acquired by Corning. Prior to that time, Ms. Lenehan was a Managing Director in Credit Suisse First Boston’s Investment Banking division and a vice president of Corporate Banking at Chase Manhattan Bank. Ms. Lenehan is currently a director of publicly traded Spartech Corporation and Monotype Imaging Holdings Inc., and privately held National Mentor Holdings. She previously served as a director of Avid Technology. We believe Ms. Lenehan’s qualifications to sit on our Board include her experience serving as a director for other public and private companies, her extensive financial and strategic management experience, and her particular knowledge of equity and debt financing and mergers and acquisitions. She also holds an Advanced Professional Director Certification from the American College of Corporate Directors, a national public company director education organization. Ms. Lenehan has been a director of the Company since March 2011.</w:t>
      </w:r>
    </w:p>
    <w:p>
      <w:pPr>
        <w:spacing w:after="0" w:line="60"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i w:val="1"/>
          <w:iCs w:val="1"/>
          <w:color w:val="auto"/>
        </w:rPr>
        <w:t>David R. Oliver, Jr.</w:t>
      </w:r>
      <w:r>
        <w:rPr>
          <w:rFonts w:ascii="Arial" w:cs="Arial" w:eastAsia="Arial" w:hAnsi="Arial"/>
          <w:sz w:val="12"/>
          <w:szCs w:val="12"/>
          <w:color w:val="auto"/>
        </w:rPr>
        <w:t>, age 69, has been executive vice president and chief operating officer, European Aeronautic Defense and Space Company North America (EADS NA), a large</w:t>
      </w:r>
      <w:r>
        <w:rPr>
          <w:rFonts w:ascii="Arial" w:cs="Arial" w:eastAsia="Arial" w:hAnsi="Arial"/>
          <w:sz w:val="12"/>
          <w:szCs w:val="12"/>
          <w:i w:val="1"/>
          <w:iCs w:val="1"/>
          <w:color w:val="auto"/>
        </w:rPr>
        <w:t xml:space="preserve"> </w:t>
      </w:r>
      <w:r>
        <w:rPr>
          <w:rFonts w:ascii="Arial" w:cs="Arial" w:eastAsia="Arial" w:hAnsi="Arial"/>
          <w:sz w:val="12"/>
          <w:szCs w:val="12"/>
          <w:color w:val="auto"/>
        </w:rPr>
        <w:t>European aerospace corporation, since January 2008. Mr. Oliver served as chief executive officer of the defense division of EADS NA for most of the four years preceding January 2008 except when he was running the EADS portion of the capture effort for the Air Force Tanker program (one of the largest Defense programs ever competed). Before joining EADS NA, Mr. Oliver was stationed in Baghdad as Director of Management and Budget for the Coalition Forces. Prior to that, he served as the United States’ Principal Deputy Under Secretary of Defense for Acquisition and Technology. Mr. Oliver also previously held management positions at both Westinghouse Electric and Northrop Grumman. In the Navy, he commanded both diesel and nuclear submarines as well as two submarine groups in the Cold War. His last Navy appointment was as Principal Deputy to the Assistant Secretary of the Navy for Research, Development and Acquisition. Rear Admiral (retired) Oliver’s military decorations include the Defense and Navy Distinguished Service Medals as well as six awards of the Legion of Merit. Mr. Oliver is a director of EADS NA, which is a publicly traded entity, and Pittsburgh Electric Engineering Company, which is a privately held entity. We believe Mr. Oliver’s qualifications to sit on our Board include his extensive leadership, management and budgeting experience gained while serving as a senior officer in the United States Navy. Mr. Oliver has been a director of the Company since September 2006.</w:t>
      </w:r>
    </w:p>
    <w:p>
      <w:pPr>
        <w:spacing w:after="0" w:line="6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John B. Vander Sande</w:t>
      </w:r>
      <w:r>
        <w:rPr>
          <w:rFonts w:ascii="Arial" w:cs="Arial" w:eastAsia="Arial" w:hAnsi="Arial"/>
          <w:sz w:val="13"/>
          <w:szCs w:val="13"/>
          <w:color w:val="auto"/>
        </w:rPr>
        <w:t>, age 67, co-founded American Superconductor, but has never had day-to-day operational responsibilities at our company. Dr. Vander Sande is the Cecil and Ida</w:t>
      </w:r>
      <w:r>
        <w:rPr>
          <w:rFonts w:ascii="Arial" w:cs="Arial" w:eastAsia="Arial" w:hAnsi="Arial"/>
          <w:sz w:val="13"/>
          <w:szCs w:val="13"/>
          <w:i w:val="1"/>
          <w:iCs w:val="1"/>
          <w:color w:val="auto"/>
        </w:rPr>
        <w:t xml:space="preserve"> </w:t>
      </w:r>
      <w:r>
        <w:rPr>
          <w:rFonts w:ascii="Arial" w:cs="Arial" w:eastAsia="Arial" w:hAnsi="Arial"/>
          <w:sz w:val="13"/>
          <w:szCs w:val="13"/>
          <w:color w:val="auto"/>
        </w:rPr>
        <w:t>Green Distinguished Professor, Department of Materials Science and Engineering, emeritus, at the Massachusetts Institute of Technology (MIT), specializing in the analysis of the microstructure of materials. He was Associate Dean and Acting Dean of Engineering at MIT from 1992 to 1999 and was founding Executive Director of the Cambridge (England)-MIT Institute from 1999 to 2003. He was Acting Provost at Reykjavik University, Iceland in 2009-10.</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We believe Dr. Vander Sande’s qualifications to sit on our Board include his extensive knowledge of materials, the power technologies industry and his long-time tenure as a professor and administrator at a leading research university. Dr. Vander Sande has been a director of the Company since 1990.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 xml:space="preserve">We have adopted a written Code of Business Conduct and Ethics that applies to our directors, officers and employees, including our principal executive officer and principal financial and accounting officer, or persons performing similar functions. We have posted a current copy of the code in the “Governance” section of the “Investors” page of our website, </w:t>
      </w:r>
      <w:r>
        <w:rPr>
          <w:rFonts w:ascii="Arial" w:cs="Arial" w:eastAsia="Arial" w:hAnsi="Arial"/>
          <w:sz w:val="13"/>
          <w:szCs w:val="13"/>
          <w:i w:val="1"/>
          <w:iCs w:val="1"/>
          <w:color w:val="auto"/>
        </w:rPr>
        <w:t>www.amsc.com</w:t>
      </w:r>
      <w:r>
        <w:rPr>
          <w:rFonts w:ascii="Arial" w:cs="Arial" w:eastAsia="Arial" w:hAnsi="Arial"/>
          <w:sz w:val="13"/>
          <w:szCs w:val="13"/>
          <w:color w:val="auto"/>
        </w:rPr>
        <w:t>. In addition, we intend to post on our website all disclosures that are required by law or NASDAQ Stock Market listing standards concerning any amendments to, or waivers</w:t>
      </w:r>
      <w:r>
        <w:rPr>
          <w:rFonts w:ascii="Arial" w:cs="Arial" w:eastAsia="Arial" w:hAnsi="Arial"/>
          <w:sz w:val="13"/>
          <w:szCs w:val="13"/>
          <w:i w:val="1"/>
          <w:iCs w:val="1"/>
          <w:color w:val="auto"/>
        </w:rPr>
        <w:t xml:space="preserve"> </w:t>
      </w:r>
      <w:r>
        <w:rPr>
          <w:rFonts w:ascii="Arial" w:cs="Arial" w:eastAsia="Arial" w:hAnsi="Arial"/>
          <w:sz w:val="13"/>
          <w:szCs w:val="13"/>
          <w:color w:val="auto"/>
        </w:rPr>
        <w:t>from, any provision of our code.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Section 16(a) of the Exchange Act requires our officers, directors and holders of more than 10% of our common stock to file with the SEC initial reports of ownership and reports of changes in ownership of our common stock. Based solely on review of the copies of such reports furnished to us and written representations regarding the filing of required reports, we are not aware that any of our officers, directors or holders of 10% or more of our common stock failed to comply in a timely manner during and with respect to fiscal 2010 with Section 16(a) filing requirements, except that, due to an administrative oversight, a Form 5 for Dr. Yurek reporting a gift of 500 shares was filed two weeks late.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a standing Audit Committee of the Board of Directors, which was established in accordance with Section 3(a)(58)(A) of the Exchange Act. The current members of the Audit Committee are Ms. Lenehan (chairman), Dr. Vander Sande, Mr. Oliver and Mr. Wood. Our Board has determined that each of these directors is an “independent director” as defined under Rule 5605(a)(2) of the NASDAQ Stock Market, Inc. Listing Rules and Rule 10A-3(c) promulgated under the Exchange Act. Our Board has determined that Ms. Lenehan is an “audit committee financial expert” as defined in applicable SEC rules.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Nomination Process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There have not been any material changes to the procedures by which security holders may recommend nominees to our Board from those described in our company’s Definitive Proxy Statement with respect to the Annual Meeting of Stockholders for the fiscal year ended March 31, 2010.</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This Compensation Discussion and Analysis (“CD&amp;A”) describes the principles of our executive compensation program, how we applied those principles in compensating our named executive officers for fiscal 2010 and how our compensation program drives performance.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named executive officers for fiscal 2010 are:</w:t>
      </w:r>
    </w:p>
    <w:p>
      <w:pPr>
        <w:spacing w:after="0" w:line="96"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Gregory J. Yurek, who was our Chief Executive Officer until May 31, 2011 and Chairman until August 15, 2011;</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David A. Henry, Senior Vice President, Chief Financial Officer and Treasurer;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John R. Collett, Senior Vice President, Chief Strategy Officer;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Charles W. Stankiewicz, Executive Vice President, Operations and Grid Segment; and</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Susan J. DiCecco, Senior Vice President, Corporate Administration.</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also present information for Daniel P. McGahn, who became our Chief Executive Officer on June 1, 2011, has been our president since December 2009 and was our Chief Operating Officer until May 2011. We refer to these six officers as our “named executive officers.”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In this CD&amp;A, we first provide an executive summary of our program for fiscal 2010. We then describe our compensation philosophy and the objectives of our executive compensation program and how the Compensation Committee of our Board oversees our compensation program. We discuss the compensation determination process and describe how we determine each element of compensation. We believe that our compensation program in fiscal 2010 and in prior years shows that we have closely linked pay to performance.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 of Our Executive Compensation Program</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Compensation Committee of our Board has designed our executive compensation program to attract and retain superior employees in key positions to enable our company to succeed in the highly competitive market for talent, while simultaneously maximizing stockholder value. We believe that our executives are a primary factor in our strong performance over both the short-and long-term. Therefore, we intend to continue to provide a competitive compensation package to our executives, tie a significant portion of pay to performance and utilize components that best align the interests of our executives with those of our stockholders.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important aspects of our executive compensation program discussed later in this CD&amp;A:</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2"/>
          <w:szCs w:val="12"/>
          <w:color w:val="auto"/>
        </w:rPr>
      </w:pPr>
      <w:r>
        <w:rPr>
          <w:rFonts w:ascii="Arial" w:cs="Arial" w:eastAsia="Arial" w:hAnsi="Arial"/>
          <w:sz w:val="12"/>
          <w:szCs w:val="12"/>
          <w:i w:val="1"/>
          <w:iCs w:val="1"/>
          <w:color w:val="auto"/>
        </w:rPr>
        <w:t xml:space="preserve">Key Elements of Our Compensation Program. </w:t>
      </w:r>
      <w:r>
        <w:rPr>
          <w:rFonts w:ascii="Arial" w:cs="Arial" w:eastAsia="Arial" w:hAnsi="Arial"/>
          <w:sz w:val="12"/>
          <w:szCs w:val="12"/>
          <w:color w:val="auto"/>
        </w:rPr>
        <w:t>Our compensation program is designed to achieve these objectives through a combination of the following types of compensation:</w:t>
      </w:r>
    </w:p>
    <w:p>
      <w:pPr>
        <w:spacing w:after="0" w:line="107" w:lineRule="exact"/>
        <w:rPr>
          <w:rFonts w:ascii="Arial" w:cs="Arial" w:eastAsia="Arial" w:hAnsi="Arial"/>
          <w:sz w:val="12"/>
          <w:szCs w:val="12"/>
          <w:color w:val="auto"/>
        </w:rPr>
      </w:pPr>
    </w:p>
    <w:p>
      <w:pPr>
        <w:ind w:left="1360" w:hanging="75"/>
        <w:spacing w:after="0"/>
        <w:tabs>
          <w:tab w:leader="none" w:pos="13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Base salary;</w:t>
      </w:r>
    </w:p>
    <w:p>
      <w:pPr>
        <w:spacing w:after="0" w:line="96" w:lineRule="exact"/>
        <w:rPr>
          <w:rFonts w:ascii="Arial" w:cs="Arial" w:eastAsia="Arial" w:hAnsi="Arial"/>
          <w:sz w:val="13"/>
          <w:szCs w:val="13"/>
          <w:color w:val="auto"/>
        </w:rPr>
      </w:pPr>
    </w:p>
    <w:p>
      <w:pPr>
        <w:ind w:left="1360" w:hanging="75"/>
        <w:spacing w:after="0"/>
        <w:tabs>
          <w:tab w:leader="none" w:pos="13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Performance-based annual cash bonuses;</w:t>
      </w:r>
    </w:p>
    <w:p>
      <w:pPr>
        <w:spacing w:after="0" w:line="96" w:lineRule="exact"/>
        <w:rPr>
          <w:rFonts w:ascii="Arial" w:cs="Arial" w:eastAsia="Arial" w:hAnsi="Arial"/>
          <w:sz w:val="13"/>
          <w:szCs w:val="13"/>
          <w:color w:val="auto"/>
        </w:rPr>
      </w:pPr>
    </w:p>
    <w:p>
      <w:pPr>
        <w:ind w:left="1360" w:hanging="75"/>
        <w:spacing w:after="0"/>
        <w:tabs>
          <w:tab w:leader="none" w:pos="13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Long-term equity incentives; and</w:t>
      </w:r>
    </w:p>
    <w:p>
      <w:pPr>
        <w:spacing w:after="0" w:line="96" w:lineRule="exact"/>
        <w:rPr>
          <w:rFonts w:ascii="Arial" w:cs="Arial" w:eastAsia="Arial" w:hAnsi="Arial"/>
          <w:sz w:val="13"/>
          <w:szCs w:val="13"/>
          <w:color w:val="auto"/>
        </w:rPr>
      </w:pPr>
    </w:p>
    <w:p>
      <w:pPr>
        <w:ind w:left="1360" w:hanging="75"/>
        <w:spacing w:after="0"/>
        <w:tabs>
          <w:tab w:leader="none" w:pos="13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Severance and change-in-control benefits.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element of our executive compensation program is discussed in greater detail below.</w:t>
      </w:r>
    </w:p>
    <w:p>
      <w:pPr>
        <w:spacing w:after="0" w:line="96" w:lineRule="exact"/>
        <w:rPr>
          <w:sz w:val="20"/>
          <w:szCs w:val="20"/>
          <w:color w:val="auto"/>
        </w:rPr>
      </w:pPr>
    </w:p>
    <w:p>
      <w:pPr>
        <w:jc w:val="both"/>
        <w:ind w:left="128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We Intend to Pay for Performance. </w:t>
      </w:r>
      <w:r>
        <w:rPr>
          <w:rFonts w:ascii="Arial" w:cs="Arial" w:eastAsia="Arial" w:hAnsi="Arial"/>
          <w:sz w:val="13"/>
          <w:szCs w:val="13"/>
          <w:color w:val="auto"/>
        </w:rPr>
        <w:t>The majority of our named executive officers’ total compensation, as shown in our Summary Compensation Table below, ties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directly to the achievement of corporate and individual objectives. We emphasize pay for performance in order to align executive compensation with our business strategy and the creation of long-term stockholder value.</w:t>
      </w:r>
    </w:p>
    <w:p>
      <w:pPr>
        <w:spacing w:after="0" w:line="57"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Our Compensation Program Supports Our Corporate Objectives and Stockholder Interests. </w:t>
      </w:r>
      <w:r>
        <w:rPr>
          <w:rFonts w:ascii="Arial" w:cs="Arial" w:eastAsia="Arial" w:hAnsi="Arial"/>
          <w:sz w:val="13"/>
          <w:szCs w:val="13"/>
          <w:color w:val="auto"/>
        </w:rPr>
        <w:t>Our compensation program is designed to align executive officer compensation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our short- and long-term business objectives and building long-term stockholder value by rewarding successful execution of our business plan and by tying a portion of total compensation opportunities to equity incentives.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 of Fiscal 2010 Performance</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Fiscal 2010 ended up being a very difficult year for our company. Through the third quarter of fiscal 2010, we expected our overall financial performance to be in line with our previous forecasts. On March 31, 2011, Sinovel refused to accept contracted shipments of 1.5 megawatt (MW) and 3 MW wind turbine core electrical components and spare parts that we were prepared to deliver. As a result, we realized significantly less-than-anticipated financial results for fiscal 2010.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Compensation Programs and Decisions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line with our executive compensation program’s emphasis on pay for performance, compensation awarded to our named executive officers for fiscal 2010 reflected our financial results and overall compensation philosophy:</w:t>
      </w:r>
    </w:p>
    <w:p>
      <w:pPr>
        <w:spacing w:after="0" w:line="59" w:lineRule="exact"/>
        <w:rPr>
          <w:sz w:val="20"/>
          <w:szCs w:val="20"/>
          <w:color w:val="auto"/>
        </w:rPr>
      </w:pPr>
    </w:p>
    <w:p>
      <w:pPr>
        <w:ind w:left="1280" w:hanging="190"/>
        <w:spacing w:after="0" w:line="320" w:lineRule="auto"/>
        <w:tabs>
          <w:tab w:leader="none" w:pos="128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Adjustments to Base Salary. </w:t>
      </w:r>
      <w:r>
        <w:rPr>
          <w:rFonts w:ascii="Arial" w:cs="Arial" w:eastAsia="Arial" w:hAnsi="Arial"/>
          <w:sz w:val="12"/>
          <w:szCs w:val="12"/>
          <w:color w:val="auto"/>
        </w:rPr>
        <w:t>During fiscal 2010, our named executive officers received increases to their base salaries based on factors such as the level of job responsibility,</w:t>
      </w:r>
      <w:r>
        <w:rPr>
          <w:rFonts w:ascii="Arial" w:cs="Arial" w:eastAsia="Arial" w:hAnsi="Arial"/>
          <w:sz w:val="12"/>
          <w:szCs w:val="12"/>
          <w:i w:val="1"/>
          <w:iCs w:val="1"/>
          <w:color w:val="auto"/>
        </w:rPr>
        <w:t xml:space="preserve"> </w:t>
      </w:r>
      <w:r>
        <w:rPr>
          <w:rFonts w:ascii="Arial" w:cs="Arial" w:eastAsia="Arial" w:hAnsi="Arial"/>
          <w:sz w:val="12"/>
          <w:szCs w:val="12"/>
          <w:color w:val="auto"/>
        </w:rPr>
        <w:t>individual, business unit and overall company performance, and competitiveness with salaries paid to executive officers in similar positions, industries and geographic locations.</w:t>
      </w:r>
    </w:p>
    <w:p>
      <w:pPr>
        <w:spacing w:after="0" w:line="25" w:lineRule="exact"/>
        <w:rPr>
          <w:rFonts w:ascii="Arial" w:cs="Arial" w:eastAsia="Arial" w:hAnsi="Arial"/>
          <w:sz w:val="12"/>
          <w:szCs w:val="12"/>
          <w:color w:val="auto"/>
        </w:rPr>
      </w:pPr>
    </w:p>
    <w:p>
      <w:pPr>
        <w:jc w:val="both"/>
        <w:ind w:left="1280" w:hanging="190"/>
        <w:spacing w:after="0" w:line="258"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Performance-Based Annual Cash Bonuses. </w:t>
      </w:r>
      <w:r>
        <w:rPr>
          <w:rFonts w:ascii="Arial" w:cs="Arial" w:eastAsia="Arial" w:hAnsi="Arial"/>
          <w:sz w:val="13"/>
          <w:szCs w:val="13"/>
          <w:color w:val="auto"/>
        </w:rPr>
        <w:t>For fiscal 2010, our company primarily focused on increasing Non-GAAP Net Income (as such performance measure is described in</w:t>
      </w:r>
      <w:r>
        <w:rPr>
          <w:rFonts w:ascii="Arial" w:cs="Arial" w:eastAsia="Arial" w:hAnsi="Arial"/>
          <w:sz w:val="13"/>
          <w:szCs w:val="13"/>
          <w:i w:val="1"/>
          <w:iCs w:val="1"/>
          <w:color w:val="auto"/>
        </w:rPr>
        <w:t xml:space="preserve"> </w:t>
      </w:r>
      <w:r>
        <w:rPr>
          <w:rFonts w:ascii="Arial" w:cs="Arial" w:eastAsia="Arial" w:hAnsi="Arial"/>
          <w:sz w:val="13"/>
          <w:szCs w:val="13"/>
          <w:color w:val="auto"/>
        </w:rPr>
        <w:t>more detail below), revenues, cash flows and orders. Our compensation program for fiscal 2010 was designed to support our company’s focus on these performance measures. For our annual bonus program for fiscal 2010, the Compensation Committee selected these objectives as key corporate objectives because the Compensation Committee believes they encourage executives to achieve superior operating results. Based on our lower than expected fiscal 2010 performance, only two out of six of our named executive officers were paid cash bonuses for fiscal 2010.</w:t>
      </w:r>
    </w:p>
    <w:p>
      <w:pPr>
        <w:spacing w:after="0" w:line="61" w:lineRule="exact"/>
        <w:rPr>
          <w:rFonts w:ascii="Arial" w:cs="Arial" w:eastAsia="Arial" w:hAnsi="Arial"/>
          <w:sz w:val="13"/>
          <w:szCs w:val="13"/>
          <w:color w:val="auto"/>
        </w:rPr>
      </w:pPr>
    </w:p>
    <w:p>
      <w:pPr>
        <w:ind w:left="1280" w:hanging="190"/>
        <w:spacing w:after="0" w:line="371" w:lineRule="auto"/>
        <w:tabs>
          <w:tab w:leader="none" w:pos="1280" w:val="left"/>
        </w:tabs>
        <w:numPr>
          <w:ilvl w:val="0"/>
          <w:numId w:val="49"/>
        </w:numPr>
        <w:rPr>
          <w:rFonts w:ascii="Arial" w:cs="Arial" w:eastAsia="Arial" w:hAnsi="Arial"/>
          <w:sz w:val="11"/>
          <w:szCs w:val="11"/>
          <w:color w:val="auto"/>
        </w:rPr>
      </w:pPr>
      <w:r>
        <w:rPr>
          <w:rFonts w:ascii="Arial" w:cs="Arial" w:eastAsia="Arial" w:hAnsi="Arial"/>
          <w:sz w:val="11"/>
          <w:szCs w:val="11"/>
          <w:i w:val="1"/>
          <w:iCs w:val="1"/>
          <w:color w:val="auto"/>
        </w:rPr>
        <w:t xml:space="preserve">Long-Term Equity Incentive. </w:t>
      </w:r>
      <w:r>
        <w:rPr>
          <w:rFonts w:ascii="Arial" w:cs="Arial" w:eastAsia="Arial" w:hAnsi="Arial"/>
          <w:sz w:val="11"/>
          <w:szCs w:val="11"/>
          <w:color w:val="auto"/>
        </w:rPr>
        <w:t>The Compensation Committee granted long-term equity awards to our named executive officers in fiscal 2010 based on such factors as performance</w:t>
      </w:r>
      <w:r>
        <w:rPr>
          <w:rFonts w:ascii="Arial" w:cs="Arial" w:eastAsia="Arial" w:hAnsi="Arial"/>
          <w:sz w:val="11"/>
          <w:szCs w:val="11"/>
          <w:i w:val="1"/>
          <w:iCs w:val="1"/>
          <w:color w:val="auto"/>
        </w:rPr>
        <w:t xml:space="preserve"> </w:t>
      </w:r>
      <w:r>
        <w:rPr>
          <w:rFonts w:ascii="Arial" w:cs="Arial" w:eastAsia="Arial" w:hAnsi="Arial"/>
          <w:sz w:val="11"/>
          <w:szCs w:val="11"/>
          <w:color w:val="auto"/>
        </w:rPr>
        <w:t>and contribution during the prior fiscal year, recommendations made by our management, competitive practices, and the overall compensation package for each executive officer.</w:t>
      </w:r>
    </w:p>
    <w:p>
      <w:pPr>
        <w:spacing w:after="0" w:line="1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light of our company’s performance during fiscal 2010, and taking into consideration our previously strong performance over the past few years, the Compensation Committee believes that the named executive officers’ fiscal 2010 compensation was appropriate.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Compensation Program Philosophy and Objectives</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Compensation Committee of our Board oversees our executive compensation program, pursuant to authority established in the Compensation Committee Charter. The Compensation Committee reviews and approves all compensation decisions relating to our executive officers, except for the chief executive officer. The Compensation Committee reviews the compensation for our chief executive officer and makes a recommendation to our Board, and our Board determines the compensation of our chief executive officer.</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compensation program is designed to meet three principal objectives:</w:t>
      </w:r>
    </w:p>
    <w:p>
      <w:pPr>
        <w:spacing w:after="0" w:line="96"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Attract and retain executive officers who contribute to our long-term success;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Align compensation with our short- and long-term business objectives;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Motivate the executive officers to provide superior performance that will build long-term stockholder value.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These objectives collectively seek to link executive compensation to our overall company performance, which helps to ensure that the interests of our executives are aligned with the interests of our stockholders.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Compensation Committee’s decisions regarding executive compensation during fiscal 2010 were based on achieving the above objectives, with an emphasis on:</w:t>
      </w:r>
    </w:p>
    <w:p>
      <w:pPr>
        <w:spacing w:after="0" w:line="96" w:lineRule="exact"/>
        <w:rPr>
          <w:sz w:val="20"/>
          <w:szCs w:val="20"/>
          <w:color w:val="auto"/>
        </w:rPr>
      </w:pPr>
    </w:p>
    <w:p>
      <w:pPr>
        <w:ind w:left="128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Increasing long-term stockholder value by increasing net income before amortization of acquisition-related intangibles, restructuring and impairments, stock-based compensation expense, other unusual charges and any tax effects related to these items, which we refer to as Non-GAAP Net Income;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Improving operational performance by increasing revenue, cash flow and orders;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Taking into account the nature and scope of the executive officer’s position and responsibilities, including considerations of pay equity among the executive officers;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Providing compensation opportunities that are competitive in the marketplace.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setting executive compensation for fiscal 2010, the Compensation Committee established salary levels, approved annual equity awards and established an executive incentive cash bonus plan with performance metrics that reflected our annual operating plan and strategic priorities for fiscal 2010. For fiscal 2010, the Compensation Committee established Non-GAAP Net Income and individualized objectives relating to revenue, cash flow, orders, among others, to promote our short-term and long-term business success. In setting objectives for each of the foregoing metrics, the Compensation Committee considered multiple factors so that its decisions were informed and equitable and that our executive compensation program achieved its objectives.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Compensation Committee’s Process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Compensation Committee has a process to help ensure that our executive compensation program meets its principal objectives. In making compensation decisions, the Compensation Committee considers a wide variety of information, including how each compensation decision ties to its total compensation philosophy, the advice of our senior vice president, corporate administration and the thoughts of our chief executive officer and other Board members.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senior vice president, corporate administration regularly attends Compensation Committee meetings to provide information and recommendations regarding our executive compensation program. Among other things, she performs extensive analysis of marketplace practices for executive pay, makes recommendations to our chief executive officer on compensation matters for all officers (other than herself) and compiles other relevant data at the request of the Compensation Committee.</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chief executive officer is actively involved in the executive compensation process. Our chief executive officer reviews the performance of each of the executive officers (other than his own) and makes recommendations to the Compensation Committee regarding the salary and long-term incentive awards for executive officers other than himself, as well as the executive compensation program’s impact on attracting, retaining and motivating the level of executive talent necessary to achieve and exceed our company goals. The Compensation Committee is not bound by such recommendations, but generally takes them into consideration before making final determinations about the compensation of executive officers other than our chief executive officer.</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Compensation Committee reviews the compensation for our chief executive officer and makes a recommendation to the full Board. The full Board determines the compensation of our chief executive officer.</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Compensation Committee also considers information relevant to each executive’s specific situation including the executive’s marketability and the availability or scarcity of other qualified candidates, inside and outside our company, who could replace the executive should he or she leave the Company.</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determining equity compensation, the Compensation Committee considers levels of past performance, performance potential, retention risk and the value of the equity compensation needed to keep the total compensation opportunity level competitive and consistent with our compensation philosophy.</w:t>
      </w:r>
    </w:p>
    <w:p>
      <w:pPr>
        <w:spacing w:after="0" w:line="59" w:lineRule="exact"/>
        <w:rPr>
          <w:sz w:val="20"/>
          <w:szCs w:val="20"/>
          <w:color w:val="auto"/>
        </w:rPr>
      </w:pPr>
    </w:p>
    <w:p>
      <w:pPr>
        <w:jc w:val="both"/>
        <w:ind w:left="680" w:firstLine="399"/>
        <w:spacing w:after="0" w:line="316" w:lineRule="auto"/>
        <w:rPr>
          <w:sz w:val="20"/>
          <w:szCs w:val="20"/>
          <w:color w:val="auto"/>
        </w:rPr>
      </w:pPr>
      <w:r>
        <w:rPr>
          <w:rFonts w:ascii="Arial" w:cs="Arial" w:eastAsia="Arial" w:hAnsi="Arial"/>
          <w:sz w:val="11"/>
          <w:szCs w:val="11"/>
          <w:i w:val="1"/>
          <w:iCs w:val="1"/>
          <w:color w:val="auto"/>
        </w:rPr>
        <w:t xml:space="preserve">Role of Independent Compensation Consultant. </w:t>
      </w:r>
      <w:r>
        <w:rPr>
          <w:rFonts w:ascii="Arial" w:cs="Arial" w:eastAsia="Arial" w:hAnsi="Arial"/>
          <w:sz w:val="11"/>
          <w:szCs w:val="11"/>
          <w:color w:val="auto"/>
        </w:rPr>
        <w:t>The Compensation Committee engaged Pearl Meyer &amp; Partners in 2008 as its independent outside compensation consultant, to advise</w:t>
      </w:r>
      <w:r>
        <w:rPr>
          <w:rFonts w:ascii="Arial" w:cs="Arial" w:eastAsia="Arial" w:hAnsi="Arial"/>
          <w:sz w:val="11"/>
          <w:szCs w:val="11"/>
          <w:i w:val="1"/>
          <w:iCs w:val="1"/>
          <w:color w:val="auto"/>
        </w:rPr>
        <w:t xml:space="preserve"> </w:t>
      </w:r>
      <w:r>
        <w:rPr>
          <w:rFonts w:ascii="Arial" w:cs="Arial" w:eastAsia="Arial" w:hAnsi="Arial"/>
          <w:sz w:val="11"/>
          <w:szCs w:val="11"/>
          <w:color w:val="auto"/>
        </w:rPr>
        <w:t>it and develop an executive compensation strategy, to assess the competitiveness of our executive compensation and to provide recommendations with respect to both the levels and structure of compensation for our executives. Pearl Meyer &amp; Partners assessed the competitiveness of executive compensation through comparisons with peer groups and survey sources while additionally assessing our performance to ensure compensation levels were appropriately tied to performance. With the assistance of Pearl Meyer &amp; Partners, in April 2010, the Compensation Committee reviewed the compensation levels of our executive officers against compensation levels at peer group companies that were selected based on the following criteria:</w:t>
      </w:r>
    </w:p>
    <w:p>
      <w:pPr>
        <w:spacing w:after="0" w:line="42" w:lineRule="exact"/>
        <w:rPr>
          <w:sz w:val="20"/>
          <w:szCs w:val="20"/>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companies whose product and service offerings are similar, though not necessarily identical, to ours;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companies with revenues of approximately one-third to three times our revenues, of which approximately 35% have higher revenues and 50% have lower revenues than we had (at the time of selection in January 2010); and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companies with market capitalization of approximately one-fourth to four times our market capitalization, of which approximately 15% have a higher market capitalization and 80% have a lower market capitalization than we had (at the time of selection in January 2010).</w:t>
      </w:r>
    </w:p>
    <w:p>
      <w:pPr>
        <w:spacing w:after="0" w:line="4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For the analysis of our fiscal 2010 executive compensation packages, the peer group was approved by the Compensation Committee in fiscal 2010 and consisted of the following companies:</w:t>
      </w:r>
    </w:p>
    <w:p>
      <w:pPr>
        <w:spacing w:after="0" w:line="75" w:lineRule="exact"/>
        <w:rPr>
          <w:sz w:val="20"/>
          <w:szCs w:val="20"/>
          <w:color w:val="auto"/>
        </w:rPr>
      </w:pPr>
    </w:p>
    <w:tbl>
      <w:tblPr>
        <w:tblLayout w:type="fixed"/>
        <w:tblInd w:w="2300" w:type="dxa"/>
        <w:tblCellMar>
          <w:top w:w="0" w:type="dxa"/>
          <w:left w:w="0" w:type="dxa"/>
          <w:bottom w:w="0" w:type="dxa"/>
          <w:right w:w="0" w:type="dxa"/>
        </w:tblCellMar>
      </w:tblPr>
      <w:tr>
        <w:trPr>
          <w:trHeight w:val="169"/>
        </w:trPr>
        <w:tc>
          <w:tcPr>
            <w:tcW w:w="2220" w:type="dxa"/>
            <w:vAlign w:val="bottom"/>
          </w:tcPr>
          <w:p>
            <w:pPr>
              <w:spacing w:after="0"/>
              <w:rPr>
                <w:sz w:val="14"/>
                <w:szCs w:val="14"/>
                <w:color w:val="auto"/>
              </w:rPr>
            </w:pPr>
          </w:p>
        </w:tc>
        <w:tc>
          <w:tcPr>
            <w:tcW w:w="4600" w:type="dxa"/>
            <w:vAlign w:val="bottom"/>
          </w:tcPr>
          <w:p>
            <w:pPr>
              <w:ind w:left="500"/>
              <w:spacing w:after="0"/>
              <w:rPr>
                <w:sz w:val="20"/>
                <w:szCs w:val="20"/>
                <w:color w:val="auto"/>
              </w:rPr>
            </w:pPr>
            <w:r>
              <w:rPr>
                <w:rFonts w:ascii="Arial" w:cs="Arial" w:eastAsia="Arial" w:hAnsi="Arial"/>
                <w:sz w:val="13"/>
                <w:szCs w:val="13"/>
                <w:b w:val="1"/>
                <w:bCs w:val="1"/>
                <w:color w:val="auto"/>
              </w:rPr>
              <w:t>Peer Group Companies</w:t>
            </w:r>
          </w:p>
        </w:tc>
      </w:tr>
      <w:tr>
        <w:trPr>
          <w:trHeight w:val="228"/>
        </w:trPr>
        <w:tc>
          <w:tcPr>
            <w:tcW w:w="2220" w:type="dxa"/>
            <w:vAlign w:val="bottom"/>
          </w:tcPr>
          <w:p>
            <w:pPr>
              <w:jc w:val="center"/>
              <w:ind w:right="434"/>
              <w:spacing w:after="0"/>
              <w:rPr>
                <w:sz w:val="20"/>
                <w:szCs w:val="20"/>
                <w:color w:val="auto"/>
              </w:rPr>
            </w:pPr>
            <w:r>
              <w:rPr>
                <w:rFonts w:ascii="Arial" w:cs="Arial" w:eastAsia="Arial" w:hAnsi="Arial"/>
                <w:sz w:val="13"/>
                <w:szCs w:val="13"/>
                <w:color w:val="auto"/>
                <w:w w:val="98"/>
              </w:rPr>
              <w:t>AZZ,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3"/>
              </w:rPr>
              <w:t>FuelCell Energy, Inc</w:t>
            </w:r>
          </w:p>
        </w:tc>
      </w:tr>
      <w:tr>
        <w:trPr>
          <w:trHeight w:val="157"/>
        </w:trPr>
        <w:tc>
          <w:tcPr>
            <w:tcW w:w="2220" w:type="dxa"/>
            <w:vAlign w:val="bottom"/>
          </w:tcPr>
          <w:p>
            <w:pPr>
              <w:jc w:val="center"/>
              <w:ind w:right="414"/>
              <w:spacing w:after="0"/>
              <w:rPr>
                <w:sz w:val="20"/>
                <w:szCs w:val="20"/>
                <w:color w:val="auto"/>
              </w:rPr>
            </w:pPr>
            <w:r>
              <w:rPr>
                <w:rFonts w:ascii="Arial" w:cs="Arial" w:eastAsia="Arial" w:hAnsi="Arial"/>
                <w:sz w:val="13"/>
                <w:szCs w:val="13"/>
                <w:color w:val="auto"/>
                <w:w w:val="93"/>
              </w:rPr>
              <w:t>Broadwind Energy,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4"/>
              </w:rPr>
              <w:t>ITC Holdings Corporation</w:t>
            </w:r>
          </w:p>
        </w:tc>
      </w:tr>
      <w:tr>
        <w:trPr>
          <w:trHeight w:val="157"/>
        </w:trPr>
        <w:tc>
          <w:tcPr>
            <w:tcW w:w="2220" w:type="dxa"/>
            <w:vAlign w:val="bottom"/>
          </w:tcPr>
          <w:p>
            <w:pPr>
              <w:jc w:val="center"/>
              <w:ind w:right="414"/>
              <w:spacing w:after="0"/>
              <w:rPr>
                <w:sz w:val="20"/>
                <w:szCs w:val="20"/>
                <w:color w:val="auto"/>
              </w:rPr>
            </w:pPr>
            <w:r>
              <w:rPr>
                <w:rFonts w:ascii="Arial" w:cs="Arial" w:eastAsia="Arial" w:hAnsi="Arial"/>
                <w:sz w:val="13"/>
                <w:szCs w:val="13"/>
                <w:color w:val="auto"/>
                <w:w w:val="92"/>
              </w:rPr>
              <w:t>Comverge,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3"/>
              </w:rPr>
              <w:t>Powell Industries, Inc.</w:t>
            </w:r>
          </w:p>
        </w:tc>
      </w:tr>
      <w:tr>
        <w:trPr>
          <w:trHeight w:val="157"/>
        </w:trPr>
        <w:tc>
          <w:tcPr>
            <w:tcW w:w="2220" w:type="dxa"/>
            <w:vAlign w:val="bottom"/>
          </w:tcPr>
          <w:p>
            <w:pPr>
              <w:jc w:val="center"/>
              <w:ind w:right="374"/>
              <w:spacing w:after="0"/>
              <w:rPr>
                <w:sz w:val="20"/>
                <w:szCs w:val="20"/>
                <w:color w:val="auto"/>
              </w:rPr>
            </w:pPr>
            <w:r>
              <w:rPr>
                <w:rFonts w:ascii="Arial" w:cs="Arial" w:eastAsia="Arial" w:hAnsi="Arial"/>
                <w:sz w:val="13"/>
                <w:szCs w:val="13"/>
                <w:color w:val="auto"/>
                <w:w w:val="92"/>
              </w:rPr>
              <w:t>Echelon Corporation</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1"/>
              </w:rPr>
              <w:t>SatCon Technology Corporation</w:t>
            </w:r>
          </w:p>
        </w:tc>
      </w:tr>
      <w:tr>
        <w:trPr>
          <w:trHeight w:val="157"/>
        </w:trPr>
        <w:tc>
          <w:tcPr>
            <w:tcW w:w="2220" w:type="dxa"/>
            <w:vAlign w:val="bottom"/>
          </w:tcPr>
          <w:p>
            <w:pPr>
              <w:jc w:val="center"/>
              <w:ind w:right="414"/>
              <w:spacing w:after="0"/>
              <w:rPr>
                <w:sz w:val="20"/>
                <w:szCs w:val="20"/>
                <w:color w:val="auto"/>
              </w:rPr>
            </w:pPr>
            <w:r>
              <w:rPr>
                <w:rFonts w:ascii="Arial" w:cs="Arial" w:eastAsia="Arial" w:hAnsi="Arial"/>
                <w:sz w:val="13"/>
                <w:szCs w:val="13"/>
                <w:color w:val="auto"/>
                <w:w w:val="92"/>
              </w:rPr>
              <w:t>Energy Conversion Devices,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2"/>
              </w:rPr>
              <w:t>SunPower Corporation</w:t>
            </w:r>
          </w:p>
        </w:tc>
      </w:tr>
      <w:tr>
        <w:trPr>
          <w:trHeight w:val="157"/>
        </w:trPr>
        <w:tc>
          <w:tcPr>
            <w:tcW w:w="2220" w:type="dxa"/>
            <w:vAlign w:val="bottom"/>
          </w:tcPr>
          <w:p>
            <w:pPr>
              <w:jc w:val="center"/>
              <w:ind w:right="414"/>
              <w:spacing w:after="0"/>
              <w:rPr>
                <w:sz w:val="20"/>
                <w:szCs w:val="20"/>
                <w:color w:val="auto"/>
              </w:rPr>
            </w:pPr>
            <w:r>
              <w:rPr>
                <w:rFonts w:ascii="Arial" w:cs="Arial" w:eastAsia="Arial" w:hAnsi="Arial"/>
                <w:sz w:val="13"/>
                <w:szCs w:val="13"/>
                <w:color w:val="auto"/>
                <w:w w:val="92"/>
              </w:rPr>
              <w:t>EnerNOC,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2"/>
              </w:rPr>
              <w:t>Vicor Corporation</w:t>
            </w:r>
          </w:p>
        </w:tc>
      </w:tr>
      <w:tr>
        <w:trPr>
          <w:trHeight w:val="165"/>
        </w:trPr>
        <w:tc>
          <w:tcPr>
            <w:tcW w:w="2220" w:type="dxa"/>
            <w:vAlign w:val="bottom"/>
          </w:tcPr>
          <w:p>
            <w:pPr>
              <w:jc w:val="center"/>
              <w:ind w:right="414"/>
              <w:spacing w:after="0"/>
              <w:rPr>
                <w:sz w:val="20"/>
                <w:szCs w:val="20"/>
                <w:color w:val="auto"/>
              </w:rPr>
            </w:pPr>
            <w:r>
              <w:rPr>
                <w:rFonts w:ascii="Arial" w:cs="Arial" w:eastAsia="Arial" w:hAnsi="Arial"/>
                <w:sz w:val="13"/>
                <w:szCs w:val="13"/>
                <w:color w:val="auto"/>
                <w:w w:val="90"/>
              </w:rPr>
              <w:t>Evergreen Solar, Inc.</w:t>
            </w:r>
          </w:p>
        </w:tc>
        <w:tc>
          <w:tcPr>
            <w:tcW w:w="4600" w:type="dxa"/>
            <w:vAlign w:val="bottom"/>
          </w:tcPr>
          <w:p>
            <w:pPr>
              <w:jc w:val="center"/>
              <w:ind w:left="2834"/>
              <w:spacing w:after="0"/>
              <w:rPr>
                <w:sz w:val="20"/>
                <w:szCs w:val="20"/>
                <w:color w:val="auto"/>
              </w:rPr>
            </w:pPr>
            <w:r>
              <w:rPr>
                <w:rFonts w:ascii="Arial" w:cs="Arial" w:eastAsia="Arial" w:hAnsi="Arial"/>
                <w:sz w:val="13"/>
                <w:szCs w:val="13"/>
                <w:color w:val="auto"/>
                <w:w w:val="91"/>
              </w:rPr>
              <w:t>Zoltek Companies, Inc.</w:t>
            </w:r>
          </w:p>
        </w:tc>
      </w:tr>
    </w:tbl>
    <w:p>
      <w:pPr>
        <w:spacing w:after="0" w:line="81"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selection criteria and peer group companies are reviewed each year by the Compensation Committee and may change from year to year depending on changes in the marketplace, acquisitions, divestitures and business focus of us and/or our peer group companies. In January 2010, in order to perform the analysis of our fiscal 2010 compensation, our Compensation Committee added three new companies, Broadwind Energy Inc., ITC Holdings Corp., and Powell Industries Inc., to our peer group, and two companies, Active Power, Inc. and Composite Technology Corporation, were removed from our peer group. These changes were made in order to maintain closer similarity between us and our peer group companies based upon the comparable company criteria described above.</w:t>
      </w:r>
    </w:p>
    <w:p>
      <w:pPr>
        <w:spacing w:after="0" w:line="71"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Compensation Committee utilized the peer group to provide context for its compensation decision-making. The compensation paid by peer group companies to their respective executive officers does not factor into the Compensation Committee’s determination of the peer group. After the peer group companies are selected, Pearl Meyer &amp; Partners prepares and presents a report to the Compensation Committee summarizing the competitive data and comparisons of our executive officers to the comparable company market data utilizing publicly available data from the comparable companies and broad survey data (reflecting companies of similar size in the general and high-technology industries). We use the broad survey data in conjunction with peer group data in evaluating our executive compensation practices. Each of our elements of compensation is reviewed as part of this analysis and evaluation.</w:t>
      </w:r>
    </w:p>
    <w:p>
      <w:pPr>
        <w:spacing w:after="0" w:line="5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above review provided the Compensation Committee with general affirmation that its compensation decisions are aligned with the marketplace and our compensation program was achieving the Compensation Committee’s objectives, as described above.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During early fiscal 2010, Pearl Meyer &amp; Partners advised the Compensation Committee on compensation matters for all officers and directors and met with the Compensation Committee in executive session without the presence of management, as requested by the Compensation Committee. Pearl Meyer &amp; Partners did not perform services for the Company that were unrelated to Compensation Committee-related matters during fiscal 2010.</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Considerations in our Compensation Program</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Compensation Committee does not believe that any risks arising from our employee compensation policies and practices are reasonably likely to have a material adverse affect on our company. Our Compensation Committee believes that any risks arising from our compensation policies and practices are mitigated by:</w:t>
      </w:r>
    </w:p>
    <w:p>
      <w:pPr>
        <w:spacing w:after="0" w:line="59" w:lineRule="exact"/>
        <w:rPr>
          <w:sz w:val="20"/>
          <w:szCs w:val="20"/>
          <w:color w:val="auto"/>
        </w:rPr>
      </w:pPr>
    </w:p>
    <w:p>
      <w:pPr>
        <w:ind w:left="1280" w:hanging="190"/>
        <w:spacing w:after="0" w:line="276"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multiple elements of our compensation packages, including base salary, annual bonus programs and, for most of our employees, equity awards vesting over multiple years, that are intended to motivate employees to take a long-term view of our business;</w:t>
      </w:r>
    </w:p>
    <w:p>
      <w:pPr>
        <w:spacing w:after="0" w:line="4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structure of our annual cash bonus program, which is based on (i) a number of different performance measures (including Non-GAAP Net Income, revenue, cash flow and orders, among others), to avoid employees placing undue emphasis on any particular performance metric at the expense of other aspects of our business, and (ii) performance targets that we believe are somewhat aggressive yet reasonable and should not require undue risk-taking to achieve;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management process, controls and decision authorities established for different types and levels of decisions.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Mix</w:t>
      </w:r>
    </w:p>
    <w:p>
      <w:pPr>
        <w:spacing w:after="0" w:line="10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The Compensation Committee relies upon its judgment and not upon rigid guidelines or formulas in determining the amount and mix of compensation elements for each executive officer. We seek to achieve our executive compensation objectives through the use of four compensation components, which are summarized in the table below.</w:t>
      </w:r>
    </w:p>
    <w:p>
      <w:pPr>
        <w:sectPr>
          <w:pgSz w:w="11900" w:h="16838" w:orient="portrait"/>
          <w:cols w:equalWidth="0" w:num="1">
            <w:col w:w="10660"/>
          </w:cols>
          <w:pgMar w:left="220" w:top="343" w:right="1019" w:bottom="1440" w:gutter="0" w:footer="0" w:header="0"/>
        </w:sectPr>
      </w:pP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Compensation Component</w:t>
            </w:r>
          </w:p>
        </w:tc>
        <w:tc>
          <w:tcPr>
            <w:tcW w:w="2300" w:type="dxa"/>
            <w:vAlign w:val="bottom"/>
          </w:tcPr>
          <w:p>
            <w:pPr>
              <w:ind w:left="560"/>
              <w:spacing w:after="0"/>
              <w:rPr>
                <w:sz w:val="20"/>
                <w:szCs w:val="20"/>
                <w:color w:val="auto"/>
              </w:rPr>
            </w:pPr>
            <w:r>
              <w:rPr>
                <w:rFonts w:ascii="Arial" w:cs="Arial" w:eastAsia="Arial" w:hAnsi="Arial"/>
                <w:sz w:val="10"/>
                <w:szCs w:val="10"/>
                <w:b w:val="1"/>
                <w:bCs w:val="1"/>
                <w:color w:val="auto"/>
              </w:rPr>
              <w:t>Principal Contributions to</w:t>
            </w:r>
          </w:p>
        </w:tc>
        <w:tc>
          <w:tcPr>
            <w:tcW w:w="0" w:type="dxa"/>
            <w:vAlign w:val="bottom"/>
          </w:tcPr>
          <w:p>
            <w:pPr>
              <w:spacing w:after="0"/>
              <w:rPr>
                <w:sz w:val="1"/>
                <w:szCs w:val="1"/>
                <w:color w:val="auto"/>
              </w:rPr>
            </w:pPr>
          </w:p>
        </w:tc>
      </w:tr>
      <w:tr>
        <w:trPr>
          <w:trHeight w:val="125"/>
        </w:trPr>
        <w:tc>
          <w:tcPr>
            <w:tcW w:w="2700" w:type="dxa"/>
            <w:vAlign w:val="bottom"/>
            <w:vMerge w:val="continue"/>
          </w:tcPr>
          <w:p>
            <w:pPr>
              <w:spacing w:after="0"/>
              <w:rPr>
                <w:sz w:val="10"/>
                <w:szCs w:val="10"/>
                <w:color w:val="auto"/>
              </w:rPr>
            </w:pPr>
          </w:p>
        </w:tc>
        <w:tc>
          <w:tcPr>
            <w:tcW w:w="230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Compensation Objectives</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20"/>
                <w:szCs w:val="20"/>
                <w:color w:val="auto"/>
              </w:rPr>
            </w:pPr>
            <w:r>
              <w:rPr>
                <w:rFonts w:ascii="Arial" w:cs="Arial" w:eastAsia="Arial" w:hAnsi="Arial"/>
                <w:sz w:val="13"/>
                <w:szCs w:val="13"/>
                <w:i w:val="1"/>
                <w:iCs w:val="1"/>
                <w:color w:val="auto"/>
              </w:rPr>
              <w:t>Base salary</w:t>
            </w:r>
          </w:p>
        </w:tc>
        <w:tc>
          <w:tcPr>
            <w:tcW w:w="2300" w:type="dxa"/>
            <w:vAlign w:val="bottom"/>
          </w:tcPr>
          <w:p>
            <w:pPr>
              <w:ind w:left="20"/>
              <w:spacing w:after="0"/>
              <w:rPr>
                <w:sz w:val="20"/>
                <w:szCs w:val="20"/>
                <w:color w:val="auto"/>
              </w:rPr>
            </w:pPr>
            <w:r>
              <w:rPr>
                <w:rFonts w:ascii="Arial" w:cs="Arial" w:eastAsia="Arial" w:hAnsi="Arial"/>
                <w:sz w:val="13"/>
                <w:szCs w:val="13"/>
                <w:color w:val="auto"/>
                <w:w w:val="94"/>
              </w:rPr>
              <w:t>•  Attracts and retains talented executives</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with annual salary that reflects the</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w w:val="99"/>
              </w:rPr>
              <w:t>executive’s performance, skill set and</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opportunities in the marketplace.</w:t>
            </w:r>
          </w:p>
        </w:tc>
        <w:tc>
          <w:tcPr>
            <w:tcW w:w="0" w:type="dxa"/>
            <w:vAlign w:val="bottom"/>
          </w:tcPr>
          <w:p>
            <w:pPr>
              <w:spacing w:after="0"/>
              <w:rPr>
                <w:sz w:val="1"/>
                <w:szCs w:val="1"/>
                <w:color w:val="auto"/>
              </w:rPr>
            </w:pPr>
          </w:p>
        </w:tc>
      </w:tr>
      <w:tr>
        <w:trPr>
          <w:trHeight w:val="464"/>
        </w:trPr>
        <w:tc>
          <w:tcPr>
            <w:tcW w:w="2700" w:type="dxa"/>
            <w:vAlign w:val="bottom"/>
          </w:tcPr>
          <w:p>
            <w:pPr>
              <w:spacing w:after="0"/>
              <w:rPr>
                <w:sz w:val="20"/>
                <w:szCs w:val="20"/>
                <w:color w:val="auto"/>
              </w:rPr>
            </w:pPr>
            <w:r>
              <w:rPr>
                <w:rFonts w:ascii="Arial" w:cs="Arial" w:eastAsia="Arial" w:hAnsi="Arial"/>
                <w:sz w:val="13"/>
                <w:szCs w:val="13"/>
                <w:i w:val="1"/>
                <w:iCs w:val="1"/>
                <w:color w:val="auto"/>
              </w:rPr>
              <w:t>Performance-based annual cash bonuses</w:t>
            </w:r>
          </w:p>
        </w:tc>
        <w:tc>
          <w:tcPr>
            <w:tcW w:w="2300" w:type="dxa"/>
            <w:vAlign w:val="bottom"/>
          </w:tcPr>
          <w:p>
            <w:pPr>
              <w:ind w:left="20"/>
              <w:spacing w:after="0"/>
              <w:rPr>
                <w:sz w:val="20"/>
                <w:szCs w:val="20"/>
                <w:color w:val="auto"/>
              </w:rPr>
            </w:pPr>
            <w:r>
              <w:rPr>
                <w:rFonts w:ascii="Arial" w:cs="Arial" w:eastAsia="Arial" w:hAnsi="Arial"/>
                <w:sz w:val="13"/>
                <w:szCs w:val="13"/>
                <w:color w:val="auto"/>
                <w:w w:val="94"/>
              </w:rPr>
              <w:t>•  Focuses executives on annual financial</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and operating results.</w:t>
            </w:r>
          </w:p>
        </w:tc>
        <w:tc>
          <w:tcPr>
            <w:tcW w:w="0" w:type="dxa"/>
            <w:vAlign w:val="bottom"/>
          </w:tcPr>
          <w:p>
            <w:pPr>
              <w:spacing w:after="0"/>
              <w:rPr>
                <w:sz w:val="1"/>
                <w:szCs w:val="1"/>
                <w:color w:val="auto"/>
              </w:rPr>
            </w:pPr>
          </w:p>
        </w:tc>
      </w:tr>
      <w:tr>
        <w:trPr>
          <w:trHeight w:val="307"/>
        </w:trPr>
        <w:tc>
          <w:tcPr>
            <w:tcW w:w="27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  Links compensation to stockholder</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interests.</w:t>
            </w:r>
          </w:p>
        </w:tc>
        <w:tc>
          <w:tcPr>
            <w:tcW w:w="0" w:type="dxa"/>
            <w:vAlign w:val="bottom"/>
          </w:tcPr>
          <w:p>
            <w:pPr>
              <w:spacing w:after="0"/>
              <w:rPr>
                <w:sz w:val="1"/>
                <w:szCs w:val="1"/>
                <w:color w:val="auto"/>
              </w:rPr>
            </w:pPr>
          </w:p>
        </w:tc>
      </w:tr>
      <w:tr>
        <w:trPr>
          <w:trHeight w:val="307"/>
        </w:trPr>
        <w:tc>
          <w:tcPr>
            <w:tcW w:w="27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  Enables total cash compensation to</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remain competitive within the</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marketplace for executive talent.</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i w:val="1"/>
                <w:iCs w:val="1"/>
                <w:color w:val="auto"/>
              </w:rPr>
              <w:t>Long-term equity incentives</w:t>
            </w:r>
          </w:p>
        </w:tc>
        <w:tc>
          <w:tcPr>
            <w:tcW w:w="2300" w:type="dxa"/>
            <w:vAlign w:val="bottom"/>
          </w:tcPr>
          <w:p>
            <w:pPr>
              <w:ind w:left="20"/>
              <w:spacing w:after="0"/>
              <w:rPr>
                <w:sz w:val="20"/>
                <w:szCs w:val="20"/>
                <w:color w:val="auto"/>
              </w:rPr>
            </w:pPr>
            <w:r>
              <w:rPr>
                <w:rFonts w:ascii="Arial" w:cs="Arial" w:eastAsia="Arial" w:hAnsi="Arial"/>
                <w:sz w:val="13"/>
                <w:szCs w:val="13"/>
                <w:color w:val="auto"/>
              </w:rPr>
              <w:t>•  Retains a successful and tenured</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management team.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-1727200</wp:posOffset>
            </wp:positionV>
            <wp:extent cx="1841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3"/>
          <w:szCs w:val="13"/>
          <w:i w:val="1"/>
          <w:iCs w:val="1"/>
          <w:color w:val="auto"/>
        </w:rPr>
        <w:t>Severance and change-in-control benefits</w:t>
      </w:r>
      <w:r>
        <w:rPr>
          <w:sz w:val="20"/>
          <w:szCs w:val="20"/>
          <w:color w:val="auto"/>
        </w:rPr>
        <w:tab/>
      </w:r>
      <w:r>
        <w:rPr>
          <w:rFonts w:ascii="Arial" w:cs="Arial" w:eastAsia="Arial" w:hAnsi="Arial"/>
          <w:sz w:val="11"/>
          <w:szCs w:val="11"/>
          <w:color w:val="auto"/>
        </w:rPr>
        <w:t>•  Helps to attract and retain talented</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executives with benefits that are</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1"/>
          <w:szCs w:val="11"/>
          <w:color w:val="auto"/>
        </w:rPr>
        <w:t>comparable to those offered by companies</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with whom we compete for talent.</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  Incentivizes management to maximize</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stockholder value.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824"/>
        <w:spacing w:after="0"/>
        <w:rPr>
          <w:sz w:val="20"/>
          <w:szCs w:val="20"/>
          <w:color w:val="auto"/>
        </w:rPr>
      </w:pPr>
      <w:r>
        <w:rPr>
          <w:rFonts w:ascii="Arial" w:cs="Arial" w:eastAsia="Arial" w:hAnsi="Arial"/>
          <w:sz w:val="10"/>
          <w:szCs w:val="10"/>
          <w:b w:val="1"/>
          <w:bCs w:val="1"/>
          <w:color w:val="auto"/>
        </w:rPr>
        <w:t>Comments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97751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30" w:lineRule="exact"/>
        <w:rPr>
          <w:sz w:val="20"/>
          <w:szCs w:val="20"/>
          <w:color w:val="auto"/>
        </w:rPr>
      </w:pPr>
    </w:p>
    <w:p>
      <w:pPr>
        <w:ind w:left="144" w:hanging="144"/>
        <w:spacing w:after="0"/>
        <w:tabs>
          <w:tab w:leader="none" w:pos="144" w:val="left"/>
        </w:tabs>
        <w:numPr>
          <w:ilvl w:val="0"/>
          <w:numId w:val="55"/>
        </w:numPr>
        <w:rPr>
          <w:rFonts w:ascii="Arial" w:cs="Arial" w:eastAsia="Arial" w:hAnsi="Arial"/>
          <w:sz w:val="13"/>
          <w:szCs w:val="13"/>
          <w:color w:val="auto"/>
        </w:rPr>
      </w:pPr>
      <w:r>
        <w:rPr>
          <w:rFonts w:ascii="Arial" w:cs="Arial" w:eastAsia="Arial" w:hAnsi="Arial"/>
          <w:sz w:val="13"/>
          <w:szCs w:val="13"/>
          <w:color w:val="auto"/>
        </w:rPr>
        <w:t>Only component of compensation that is guaranteed.</w:t>
      </w:r>
    </w:p>
    <w:p>
      <w:pPr>
        <w:spacing w:after="0" w:line="165" w:lineRule="exact"/>
        <w:rPr>
          <w:rFonts w:ascii="Arial" w:cs="Arial" w:eastAsia="Arial" w:hAnsi="Arial"/>
          <w:sz w:val="13"/>
          <w:szCs w:val="13"/>
          <w:color w:val="auto"/>
        </w:rPr>
      </w:pPr>
    </w:p>
    <w:p>
      <w:pPr>
        <w:ind w:left="144" w:hanging="144"/>
        <w:spacing w:after="0"/>
        <w:tabs>
          <w:tab w:leader="none" w:pos="144" w:val="left"/>
        </w:tabs>
        <w:numPr>
          <w:ilvl w:val="0"/>
          <w:numId w:val="55"/>
        </w:numPr>
        <w:rPr>
          <w:rFonts w:ascii="Arial" w:cs="Arial" w:eastAsia="Arial" w:hAnsi="Arial"/>
          <w:sz w:val="13"/>
          <w:szCs w:val="13"/>
          <w:color w:val="auto"/>
        </w:rPr>
      </w:pPr>
      <w:r>
        <w:rPr>
          <w:rFonts w:ascii="Arial" w:cs="Arial" w:eastAsia="Arial" w:hAnsi="Arial"/>
          <w:sz w:val="13"/>
          <w:szCs w:val="13"/>
          <w:color w:val="auto"/>
        </w:rPr>
        <w:t>Can be most influenced by individual performance.</w:t>
      </w:r>
    </w:p>
    <w:p>
      <w:pPr>
        <w:spacing w:after="0" w:line="165" w:lineRule="exact"/>
        <w:rPr>
          <w:rFonts w:ascii="Arial" w:cs="Arial" w:eastAsia="Arial" w:hAnsi="Arial"/>
          <w:sz w:val="13"/>
          <w:szCs w:val="13"/>
          <w:color w:val="auto"/>
        </w:rPr>
      </w:pPr>
    </w:p>
    <w:p>
      <w:pPr>
        <w:ind w:left="4" w:right="240" w:hanging="4"/>
        <w:spacing w:after="0" w:line="258" w:lineRule="auto"/>
        <w:tabs>
          <w:tab w:leader="none" w:pos="148" w:val="left"/>
        </w:tabs>
        <w:numPr>
          <w:ilvl w:val="0"/>
          <w:numId w:val="55"/>
        </w:numPr>
        <w:rPr>
          <w:rFonts w:ascii="Arial" w:cs="Arial" w:eastAsia="Arial" w:hAnsi="Arial"/>
          <w:sz w:val="13"/>
          <w:szCs w:val="13"/>
          <w:color w:val="auto"/>
        </w:rPr>
      </w:pPr>
      <w:r>
        <w:rPr>
          <w:rFonts w:ascii="Arial" w:cs="Arial" w:eastAsia="Arial" w:hAnsi="Arial"/>
          <w:sz w:val="13"/>
          <w:szCs w:val="13"/>
          <w:color w:val="auto"/>
        </w:rPr>
        <w:t>Comprised 28% to 96% of total compensation for our named executive officers in fiscal 2010.</w:t>
      </w:r>
    </w:p>
    <w:p>
      <w:pPr>
        <w:ind w:left="4" w:hanging="4"/>
        <w:spacing w:after="0" w:line="258" w:lineRule="auto"/>
        <w:tabs>
          <w:tab w:leader="none" w:pos="148" w:val="left"/>
        </w:tabs>
        <w:numPr>
          <w:ilvl w:val="0"/>
          <w:numId w:val="55"/>
        </w:numPr>
        <w:rPr>
          <w:rFonts w:ascii="Arial" w:cs="Arial" w:eastAsia="Arial" w:hAnsi="Arial"/>
          <w:sz w:val="13"/>
          <w:szCs w:val="13"/>
          <w:color w:val="auto"/>
        </w:rPr>
      </w:pPr>
      <w:r>
        <w:rPr>
          <w:rFonts w:ascii="Arial" w:cs="Arial" w:eastAsia="Arial" w:hAnsi="Arial"/>
          <w:sz w:val="13"/>
          <w:szCs w:val="13"/>
          <w:color w:val="auto"/>
        </w:rPr>
        <w:t>Payout target for named executive officers ranges from 50% to 75% of base salary and depends upon Non-GAAP Net Income, individual objectives, and contribution to our financial and non-financial objectives.</w:t>
      </w:r>
    </w:p>
    <w:p>
      <w:pPr>
        <w:spacing w:after="0" w:line="139" w:lineRule="exact"/>
        <w:rPr>
          <w:rFonts w:ascii="Arial" w:cs="Arial" w:eastAsia="Arial" w:hAnsi="Arial"/>
          <w:sz w:val="13"/>
          <w:szCs w:val="13"/>
          <w:color w:val="auto"/>
        </w:rPr>
      </w:pPr>
    </w:p>
    <w:p>
      <w:pPr>
        <w:ind w:left="144" w:hanging="144"/>
        <w:spacing w:after="0"/>
        <w:tabs>
          <w:tab w:leader="none" w:pos="144" w:val="left"/>
        </w:tabs>
        <w:numPr>
          <w:ilvl w:val="0"/>
          <w:numId w:val="55"/>
        </w:numPr>
        <w:rPr>
          <w:rFonts w:ascii="Arial" w:cs="Arial" w:eastAsia="Arial" w:hAnsi="Arial"/>
          <w:sz w:val="13"/>
          <w:szCs w:val="13"/>
          <w:color w:val="auto"/>
        </w:rPr>
      </w:pPr>
      <w:r>
        <w:rPr>
          <w:rFonts w:ascii="Arial" w:cs="Arial" w:eastAsia="Arial" w:hAnsi="Arial"/>
          <w:sz w:val="13"/>
          <w:szCs w:val="13"/>
          <w:color w:val="auto"/>
        </w:rPr>
        <w:t>0% to 156% of target payout can be achieved.</w:t>
      </w:r>
    </w:p>
    <w:p>
      <w:pPr>
        <w:spacing w:after="0" w:line="165" w:lineRule="exact"/>
        <w:rPr>
          <w:rFonts w:ascii="Arial" w:cs="Arial" w:eastAsia="Arial" w:hAnsi="Arial"/>
          <w:sz w:val="13"/>
          <w:szCs w:val="13"/>
          <w:color w:val="auto"/>
        </w:rPr>
      </w:pPr>
    </w:p>
    <w:p>
      <w:pPr>
        <w:ind w:left="4" w:right="100" w:hanging="4"/>
        <w:spacing w:after="0" w:line="256" w:lineRule="auto"/>
        <w:tabs>
          <w:tab w:leader="none" w:pos="1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Total cash compensation (base salary plus performance-based annual cash bonus) comprised 28% to 97% of total compensation for our named executive officers in fiscal 2010.</w:t>
      </w:r>
    </w:p>
    <w:p>
      <w:pPr>
        <w:ind w:left="144" w:hanging="144"/>
        <w:spacing w:after="0"/>
        <w:tabs>
          <w:tab w:leader="none" w:pos="144" w:val="left"/>
        </w:tabs>
        <w:numPr>
          <w:ilvl w:val="0"/>
          <w:numId w:val="55"/>
        </w:numPr>
        <w:rPr>
          <w:rFonts w:ascii="Arial" w:cs="Arial" w:eastAsia="Arial" w:hAnsi="Arial"/>
          <w:sz w:val="13"/>
          <w:szCs w:val="13"/>
          <w:color w:val="auto"/>
        </w:rPr>
      </w:pPr>
      <w:r>
        <w:rPr>
          <w:rFonts w:ascii="Arial" w:cs="Arial" w:eastAsia="Arial" w:hAnsi="Arial"/>
          <w:sz w:val="13"/>
          <w:szCs w:val="13"/>
          <w:color w:val="auto"/>
        </w:rPr>
        <w:t>Time-based stock options and restricted stock.</w:t>
      </w:r>
    </w:p>
    <w:p>
      <w:pPr>
        <w:spacing w:after="0" w:line="157" w:lineRule="exact"/>
        <w:rPr>
          <w:rFonts w:ascii="Arial" w:cs="Arial" w:eastAsia="Arial" w:hAnsi="Arial"/>
          <w:sz w:val="13"/>
          <w:szCs w:val="13"/>
          <w:color w:val="auto"/>
        </w:rPr>
      </w:pPr>
    </w:p>
    <w:p>
      <w:pPr>
        <w:ind w:left="4" w:right="300" w:hanging="4"/>
        <w:spacing w:after="0" w:line="258" w:lineRule="auto"/>
        <w:tabs>
          <w:tab w:leader="none" w:pos="148"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Long-term equity incentives comprised 0% to 71% of total compensation for our named executive officers in fiscal 2010.</w:t>
      </w:r>
    </w:p>
    <w:p>
      <w:pPr>
        <w:ind w:left="44" w:right="220" w:hanging="44"/>
        <w:spacing w:after="0" w:line="252" w:lineRule="auto"/>
        <w:tabs>
          <w:tab w:leader="none" w:pos="135"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Long-term equity incentives combined with performance-based annual cash bonus brings “at risk” fiscal 2010 compensation to a range of 1% to 71% of total compensation for the named executive officers.</w:t>
      </w:r>
    </w:p>
    <w:p>
      <w:pPr>
        <w:jc w:val="both"/>
        <w:ind w:left="4" w:right="200" w:hanging="4"/>
        <w:spacing w:after="0" w:line="327" w:lineRule="auto"/>
        <w:tabs>
          <w:tab w:leader="none" w:pos="148" w:val="left"/>
        </w:tabs>
        <w:numPr>
          <w:ilvl w:val="0"/>
          <w:numId w:val="55"/>
        </w:numPr>
        <w:rPr>
          <w:rFonts w:ascii="Arial" w:cs="Arial" w:eastAsia="Arial" w:hAnsi="Arial"/>
          <w:sz w:val="11"/>
          <w:szCs w:val="11"/>
          <w:color w:val="auto"/>
        </w:rPr>
      </w:pPr>
      <w:r>
        <w:rPr>
          <w:rFonts w:ascii="Arial" w:cs="Arial" w:eastAsia="Arial" w:hAnsi="Arial"/>
          <w:sz w:val="11"/>
          <w:szCs w:val="11"/>
          <w:color w:val="auto"/>
        </w:rPr>
        <w:t>Each severance agreement provides for certain severance benefits, primarily salary and health benefits, in the event that the executive’s employment is terminated under certain circumstances. The severance periods range from 12 months to 36 months.</w:t>
      </w:r>
    </w:p>
    <w:p>
      <w:pPr>
        <w:spacing w:after="0" w:line="104" w:lineRule="exact"/>
        <w:rPr>
          <w:rFonts w:ascii="Arial" w:cs="Arial" w:eastAsia="Arial" w:hAnsi="Arial"/>
          <w:sz w:val="11"/>
          <w:szCs w:val="11"/>
          <w:color w:val="auto"/>
        </w:rPr>
      </w:pPr>
    </w:p>
    <w:p>
      <w:pPr>
        <w:ind w:left="4" w:right="360" w:hanging="4"/>
        <w:spacing w:after="0" w:line="371" w:lineRule="auto"/>
        <w:tabs>
          <w:tab w:leader="none" w:pos="145"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stock options and restricted stock awards we grant to our executive officers provide for full acceleration of vesting upon a change-in-control of our company.</w:t>
      </w:r>
    </w:p>
    <w:p>
      <w:pPr>
        <w:spacing w:after="0" w:line="169" w:lineRule="exact"/>
        <w:rPr>
          <w:sz w:val="20"/>
          <w:szCs w:val="20"/>
          <w:color w:val="auto"/>
        </w:rPr>
      </w:pPr>
    </w:p>
    <w:p>
      <w:pPr>
        <w:sectPr>
          <w:pgSz w:w="11900" w:h="16838" w:orient="portrait"/>
          <w:cols w:equalWidth="0" w:num="2">
            <w:col w:w="5680" w:space="296"/>
            <w:col w:w="4684"/>
          </w:cols>
          <w:pgMar w:left="220" w:top="343" w:right="1019" w:bottom="1440" w:gutter="0" w:footer="0" w:header="0"/>
          <w:type w:val="continuous"/>
        </w:sectPr>
      </w:pPr>
    </w:p>
    <w:p>
      <w:pPr>
        <w:jc w:val="both"/>
        <w:ind w:left="680" w:firstLine="399"/>
        <w:spacing w:after="0" w:line="260" w:lineRule="auto"/>
        <w:rPr>
          <w:sz w:val="20"/>
          <w:szCs w:val="20"/>
          <w:color w:val="auto"/>
        </w:rPr>
      </w:pPr>
      <w:r>
        <w:rPr>
          <w:rFonts w:ascii="Arial" w:cs="Arial" w:eastAsia="Arial" w:hAnsi="Arial"/>
          <w:sz w:val="13"/>
          <w:szCs w:val="13"/>
          <w:color w:val="auto"/>
        </w:rPr>
        <w:t>While the Compensation Committee independently evaluates each of the compensation components discussed in the above table, it places greater emphasis on the sum of base salary, performance-based annual cash bonuses and long-term equity incentives rather than any one component because of their combined greater potential to influence our named executive officers’ performance. The Compensation Committee believes, and our pay mix is designed to reflect, that a substantial portion of the compensation for our named executive officers should be “at risk” and aligned with our stockholders’ interests.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18" w:name="page119"/>
    <w:bookmarkEnd w:id="1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salary.</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Base salaries are set once per year as part of the compensation review process. The Compensation Committee assessed a number of factors in determining base salary adjustments for our executive officers for fiscal 2010 including:</w:t>
      </w:r>
    </w:p>
    <w:p>
      <w:pPr>
        <w:spacing w:after="0" w:line="59" w:lineRule="exact"/>
        <w:rPr>
          <w:sz w:val="20"/>
          <w:szCs w:val="20"/>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level of job responsibility;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individual, business unit and overall company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competitiveness with salaries paid to executive officers in similar positions, industries and geographic locations.</w:t>
      </w:r>
    </w:p>
    <w:p>
      <w:pPr>
        <w:spacing w:after="0" w:line="96"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color w:val="auto"/>
        </w:rPr>
        <w:t>Based on its assessment of the foregoing factors, together with its own business experience and judgment, the Compensation Committee approved the changes below to the annual base salaries of our executive officers. The annual base salary of Dr. Yurek was recommended by the Compensation Committee and approved by our Board, effective as of April 1, 2010.</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1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160" w:type="dxa"/>
            <w:vAlign w:val="bottom"/>
          </w:tcPr>
          <w:p>
            <w:pPr>
              <w:jc w:val="right"/>
              <w:ind w:right="278"/>
              <w:spacing w:after="0"/>
              <w:rPr>
                <w:sz w:val="20"/>
                <w:szCs w:val="20"/>
                <w:color w:val="auto"/>
              </w:rPr>
            </w:pPr>
            <w:r>
              <w:rPr>
                <w:rFonts w:ascii="Arial" w:cs="Arial" w:eastAsia="Arial" w:hAnsi="Arial"/>
                <w:sz w:val="10"/>
                <w:szCs w:val="10"/>
                <w:b w:val="1"/>
                <w:bCs w:val="1"/>
                <w:color w:val="auto"/>
              </w:rPr>
              <w:t>Fiscal 2009</w:t>
            </w:r>
          </w:p>
        </w:tc>
        <w:tc>
          <w:tcPr>
            <w:tcW w:w="260" w:type="dxa"/>
            <w:vAlign w:val="bottom"/>
          </w:tcPr>
          <w:p>
            <w:pPr>
              <w:spacing w:after="0"/>
              <w:rPr>
                <w:sz w:val="10"/>
                <w:szCs w:val="10"/>
                <w:color w:val="auto"/>
              </w:rPr>
            </w:pPr>
          </w:p>
        </w:tc>
        <w:tc>
          <w:tcPr>
            <w:tcW w:w="1160" w:type="dxa"/>
            <w:vAlign w:val="bottom"/>
          </w:tcPr>
          <w:p>
            <w:pPr>
              <w:jc w:val="right"/>
              <w:ind w:right="268"/>
              <w:spacing w:after="0"/>
              <w:rPr>
                <w:sz w:val="20"/>
                <w:szCs w:val="20"/>
                <w:color w:val="auto"/>
              </w:rPr>
            </w:pPr>
            <w:r>
              <w:rPr>
                <w:rFonts w:ascii="Arial" w:cs="Arial" w:eastAsia="Arial" w:hAnsi="Arial"/>
                <w:sz w:val="10"/>
                <w:szCs w:val="10"/>
                <w:b w:val="1"/>
                <w:bCs w:val="1"/>
                <w:color w:val="auto"/>
              </w:rPr>
              <w:t>Fiscal 2010</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20" w:type="dxa"/>
            <w:vAlign w:val="bottom"/>
            <w:vMerge w:val="continue"/>
          </w:tcPr>
          <w:p>
            <w:pPr>
              <w:spacing w:after="0"/>
              <w:rPr>
                <w:sz w:val="10"/>
                <w:szCs w:val="10"/>
                <w:color w:val="auto"/>
              </w:rPr>
            </w:pP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Base Salary</w:t>
            </w:r>
          </w:p>
        </w:tc>
        <w:tc>
          <w:tcPr>
            <w:tcW w:w="260" w:type="dxa"/>
            <w:vAlign w:val="bottom"/>
          </w:tcPr>
          <w:p>
            <w:pPr>
              <w:spacing w:after="0"/>
              <w:rPr>
                <w:sz w:val="10"/>
                <w:szCs w:val="10"/>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Base Salary</w:t>
            </w:r>
          </w:p>
        </w:tc>
        <w:tc>
          <w:tcPr>
            <w:tcW w:w="280" w:type="dxa"/>
            <w:vAlign w:val="bottom"/>
          </w:tcPr>
          <w:p>
            <w:pPr>
              <w:spacing w:after="0"/>
              <w:rPr>
                <w:sz w:val="10"/>
                <w:szCs w:val="10"/>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116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$600,000</w:t>
            </w:r>
          </w:p>
        </w:tc>
        <w:tc>
          <w:tcPr>
            <w:tcW w:w="14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$600,000</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20" w:type="dxa"/>
            <w:vAlign w:val="bottom"/>
          </w:tcPr>
          <w:p>
            <w:pPr>
              <w:spacing w:after="0"/>
              <w:rPr>
                <w:sz w:val="20"/>
                <w:szCs w:val="20"/>
                <w:color w:val="auto"/>
              </w:rPr>
            </w:pPr>
            <w:r>
              <w:rPr>
                <w:rFonts w:ascii="Arial" w:cs="Arial" w:eastAsia="Arial" w:hAnsi="Arial"/>
                <w:sz w:val="13"/>
                <w:szCs w:val="13"/>
                <w:color w:val="auto"/>
              </w:rPr>
              <w:t>David A. Henry</w:t>
            </w:r>
          </w:p>
        </w:tc>
        <w:tc>
          <w:tcPr>
            <w:tcW w:w="1160" w:type="dxa"/>
            <w:vAlign w:val="bottom"/>
          </w:tcPr>
          <w:p>
            <w:pPr>
              <w:jc w:val="right"/>
              <w:ind w:right="318"/>
              <w:spacing w:after="0"/>
              <w:rPr>
                <w:sz w:val="20"/>
                <w:szCs w:val="20"/>
                <w:color w:val="auto"/>
              </w:rPr>
            </w:pPr>
            <w:r>
              <w:rPr>
                <w:rFonts w:ascii="Arial" w:cs="Arial" w:eastAsia="Arial" w:hAnsi="Arial"/>
                <w:sz w:val="13"/>
                <w:szCs w:val="13"/>
                <w:color w:val="auto"/>
              </w:rPr>
              <w:t>$280,000</w:t>
            </w:r>
          </w:p>
        </w:tc>
        <w:tc>
          <w:tcPr>
            <w:tcW w:w="1420" w:type="dxa"/>
            <w:vAlign w:val="bottom"/>
            <w:gridSpan w:val="2"/>
          </w:tcPr>
          <w:p>
            <w:pPr>
              <w:jc w:val="right"/>
              <w:ind w:right="308"/>
              <w:spacing w:after="0"/>
              <w:rPr>
                <w:sz w:val="20"/>
                <w:szCs w:val="20"/>
                <w:color w:val="auto"/>
              </w:rPr>
            </w:pPr>
            <w:r>
              <w:rPr>
                <w:rFonts w:ascii="Arial" w:cs="Arial" w:eastAsia="Arial" w:hAnsi="Arial"/>
                <w:sz w:val="13"/>
                <w:szCs w:val="13"/>
                <w:color w:val="auto"/>
              </w:rPr>
              <w:t>$295,000</w:t>
            </w:r>
          </w:p>
        </w:tc>
        <w:tc>
          <w:tcPr>
            <w:tcW w:w="1280" w:type="dxa"/>
            <w:vAlign w:val="bottom"/>
            <w:gridSpan w:val="2"/>
          </w:tcPr>
          <w:p>
            <w:pPr>
              <w:jc w:val="right"/>
              <w:ind w:right="199"/>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Daniel P. McGahn</w:t>
            </w:r>
          </w:p>
        </w:tc>
        <w:tc>
          <w:tcPr>
            <w:tcW w:w="116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$330,000</w:t>
            </w:r>
          </w:p>
        </w:tc>
        <w:tc>
          <w:tcPr>
            <w:tcW w:w="14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$330,000</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20" w:type="dxa"/>
            <w:vAlign w:val="bottom"/>
          </w:tcPr>
          <w:p>
            <w:pPr>
              <w:spacing w:after="0"/>
              <w:rPr>
                <w:sz w:val="20"/>
                <w:szCs w:val="20"/>
                <w:color w:val="auto"/>
              </w:rPr>
            </w:pPr>
            <w:r>
              <w:rPr>
                <w:rFonts w:ascii="Arial" w:cs="Arial" w:eastAsia="Arial" w:hAnsi="Arial"/>
                <w:sz w:val="13"/>
                <w:szCs w:val="13"/>
                <w:color w:val="auto"/>
              </w:rPr>
              <w:t>John R. Collett</w:t>
            </w:r>
          </w:p>
        </w:tc>
        <w:tc>
          <w:tcPr>
            <w:tcW w:w="1160" w:type="dxa"/>
            <w:vAlign w:val="bottom"/>
          </w:tcPr>
          <w:p>
            <w:pPr>
              <w:jc w:val="right"/>
              <w:ind w:right="318"/>
              <w:spacing w:after="0"/>
              <w:rPr>
                <w:sz w:val="20"/>
                <w:szCs w:val="20"/>
                <w:color w:val="auto"/>
              </w:rPr>
            </w:pPr>
            <w:r>
              <w:rPr>
                <w:rFonts w:ascii="Arial" w:cs="Arial" w:eastAsia="Arial" w:hAnsi="Arial"/>
                <w:sz w:val="13"/>
                <w:szCs w:val="13"/>
                <w:color w:val="auto"/>
              </w:rPr>
              <w:t>$240,000</w:t>
            </w:r>
          </w:p>
        </w:tc>
        <w:tc>
          <w:tcPr>
            <w:tcW w:w="1420" w:type="dxa"/>
            <w:vAlign w:val="bottom"/>
            <w:gridSpan w:val="2"/>
          </w:tcPr>
          <w:p>
            <w:pPr>
              <w:jc w:val="right"/>
              <w:ind w:right="308"/>
              <w:spacing w:after="0"/>
              <w:rPr>
                <w:sz w:val="20"/>
                <w:szCs w:val="20"/>
                <w:color w:val="auto"/>
              </w:rPr>
            </w:pPr>
            <w:r>
              <w:rPr>
                <w:rFonts w:ascii="Arial" w:cs="Arial" w:eastAsia="Arial" w:hAnsi="Arial"/>
                <w:sz w:val="13"/>
                <w:szCs w:val="13"/>
                <w:color w:val="auto"/>
              </w:rPr>
              <w:t>$250,000</w:t>
            </w:r>
          </w:p>
        </w:tc>
        <w:tc>
          <w:tcPr>
            <w:tcW w:w="1280" w:type="dxa"/>
            <w:vAlign w:val="bottom"/>
            <w:gridSpan w:val="2"/>
          </w:tcPr>
          <w:p>
            <w:pPr>
              <w:jc w:val="right"/>
              <w:ind w:right="199"/>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116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$312,000</w:t>
            </w:r>
          </w:p>
        </w:tc>
        <w:tc>
          <w:tcPr>
            <w:tcW w:w="14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$321,000</w:t>
            </w:r>
          </w:p>
        </w:tc>
        <w:tc>
          <w:tcPr>
            <w:tcW w:w="1280" w:type="dxa"/>
            <w:vAlign w:val="bottom"/>
            <w:gridSpan w:val="2"/>
            <w:shd w:val="clear" w:color="auto" w:fill="CCEEFF"/>
          </w:tcPr>
          <w:p>
            <w:pPr>
              <w:jc w:val="right"/>
              <w:ind w:right="199"/>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5"/>
        </w:trPr>
        <w:tc>
          <w:tcPr>
            <w:tcW w:w="6120" w:type="dxa"/>
            <w:vAlign w:val="bottom"/>
          </w:tcPr>
          <w:p>
            <w:pPr>
              <w:spacing w:after="0"/>
              <w:rPr>
                <w:sz w:val="20"/>
                <w:szCs w:val="20"/>
                <w:color w:val="auto"/>
              </w:rPr>
            </w:pPr>
            <w:r>
              <w:rPr>
                <w:rFonts w:ascii="Arial" w:cs="Arial" w:eastAsia="Arial" w:hAnsi="Arial"/>
                <w:sz w:val="13"/>
                <w:szCs w:val="13"/>
                <w:color w:val="auto"/>
              </w:rPr>
              <w:t>Susan J. DiCecco</w:t>
            </w:r>
          </w:p>
        </w:tc>
        <w:tc>
          <w:tcPr>
            <w:tcW w:w="1160" w:type="dxa"/>
            <w:vAlign w:val="bottom"/>
          </w:tcPr>
          <w:p>
            <w:pPr>
              <w:jc w:val="right"/>
              <w:ind w:right="318"/>
              <w:spacing w:after="0"/>
              <w:rPr>
                <w:sz w:val="20"/>
                <w:szCs w:val="20"/>
                <w:color w:val="auto"/>
              </w:rPr>
            </w:pPr>
            <w:r>
              <w:rPr>
                <w:rFonts w:ascii="Arial" w:cs="Arial" w:eastAsia="Arial" w:hAnsi="Arial"/>
                <w:sz w:val="13"/>
                <w:szCs w:val="13"/>
                <w:color w:val="auto"/>
              </w:rPr>
              <w:t>$199,000</w:t>
            </w:r>
          </w:p>
        </w:tc>
        <w:tc>
          <w:tcPr>
            <w:tcW w:w="1420" w:type="dxa"/>
            <w:vAlign w:val="bottom"/>
            <w:gridSpan w:val="2"/>
          </w:tcPr>
          <w:p>
            <w:pPr>
              <w:jc w:val="right"/>
              <w:ind w:right="308"/>
              <w:spacing w:after="0"/>
              <w:rPr>
                <w:sz w:val="20"/>
                <w:szCs w:val="20"/>
                <w:color w:val="auto"/>
              </w:rPr>
            </w:pPr>
            <w:r>
              <w:rPr>
                <w:rFonts w:ascii="Arial" w:cs="Arial" w:eastAsia="Arial" w:hAnsi="Arial"/>
                <w:sz w:val="13"/>
                <w:szCs w:val="13"/>
                <w:color w:val="auto"/>
              </w:rPr>
              <w:t>$225,000</w:t>
            </w:r>
          </w:p>
        </w:tc>
        <w:tc>
          <w:tcPr>
            <w:tcW w:w="1280" w:type="dxa"/>
            <w:vAlign w:val="bottom"/>
            <w:gridSpan w:val="2"/>
          </w:tcPr>
          <w:p>
            <w:pPr>
              <w:jc w:val="right"/>
              <w:ind w:right="199"/>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Based upon its review of peer group companies, the Compensation Committee recommended, and our Board approved, no base salary increase for Mr. Yurek in fiscal 2010 but instead increased his performance-based annual cash bonus opportunity to be more in line with the market.</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On December 11, 2009, the Compensation Committee approved an increase in Mr. McGahn’s base salary from $260,000 to $330,000 in connection with his promotion to president and chief operating officer of our company so he did not receive an increase to his base salary in fiscal 2010.</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On August 5, 2009, the Compensation Committee approved an increase in Ms. DiCecco’s base salary from $179,000 to $199,000 in connection with her promotion to vice president, corporate administration of our company. Ms. DiCecco’s base salary increase in fiscal 2010 reflects an adjustment to better align her base salary with the market.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Performance-Based Annual Cash Bonuses.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Compensation Committee believes cash bonuses are an important factor in rewarding and motivating our executive officers. The Compensation Committee establishes a cash incentive plan for our executive officers on an annual basis, typically early in the fiscal year.</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May 12, 2010, the Compensation Committee, as well as our Board, approved an executive incentive plan for fiscal 2010 covering all of our executive officers. Under the plan, the Compensation Committee established Non-GAAP Net Income; individualized objectives relating to revenue, cash flow and orders, among others; and individual contributions to our financial and non-financial objectives as the performance metrics for the payment of cash bonus awards for fiscal 2010. For each executive officer, other than Mr. Collett, the Compensation Committee assigned the following weighting to each such metric:</w:t>
      </w:r>
    </w:p>
    <w:p>
      <w:pPr>
        <w:spacing w:after="0" w:line="70"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company’s Non-GAAP Net Income for fiscal 2010 as compared to the established target — 40%;</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executive’s achievement of individual measurable objectives during fiscal 2010 as determined by our Board (in the case of our chief executive officer) or the Compensation Committee, which varied among the executive officers — 40%; and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executive’s overall contribution during fiscal 2010 toward the achievement of our company’s financial and non-financial objectives — 20%.</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Mr. Collett’s incentive award was determined using the same foregoing factors, but their corresponding weightings were 40%, 20% and 40%, respectively. Mr. Collett’s weightings were more heavily subjective to reflect his role and responsibilities with our company.</w:t>
      </w:r>
    </w:p>
    <w:p>
      <w:pPr>
        <w:spacing w:after="0" w:line="59"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color w:val="auto"/>
        </w:rPr>
        <w:t>Under the terms of the fiscal 2010 executive incentive plan, the Compensation Committee designated for each named executive officer a target cash bonus amount between 50% and 75% of such named executive officer’s base salary for fiscal 2010. The amount of the target cash bonus award actually paid to each named executive officer could have been less than or greater than the executive’s target cash bonus incentive, with the amount capped at 156% of the target cash bonus amount. If less than 80% of a particular quantitative objective was achieved, no payment was received with respect to that component of the bonus plan.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each named executive officer’s target cash bonus for fiscal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6"/>
              </w:rPr>
              <w:t>Target Cash</w:t>
            </w:r>
          </w:p>
        </w:tc>
        <w:tc>
          <w:tcPr>
            <w:tcW w:w="280" w:type="dxa"/>
            <w:vAlign w:val="bottom"/>
          </w:tcPr>
          <w:p>
            <w:pPr>
              <w:spacing w:after="0"/>
              <w:rPr>
                <w:sz w:val="10"/>
                <w:szCs w:val="10"/>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Target</w:t>
            </w:r>
          </w:p>
        </w:tc>
        <w:tc>
          <w:tcPr>
            <w:tcW w:w="0" w:type="dxa"/>
            <w:vAlign w:val="bottom"/>
          </w:tcPr>
          <w:p>
            <w:pPr>
              <w:spacing w:after="0"/>
              <w:rPr>
                <w:sz w:val="1"/>
                <w:szCs w:val="1"/>
                <w:color w:val="auto"/>
              </w:rPr>
            </w:pPr>
          </w:p>
        </w:tc>
      </w:tr>
      <w:tr>
        <w:trPr>
          <w:trHeight w:val="118"/>
        </w:trPr>
        <w:tc>
          <w:tcPr>
            <w:tcW w:w="7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0"/>
              </w:rPr>
              <w:t>Bonus as% of</w:t>
            </w:r>
          </w:p>
        </w:tc>
        <w:tc>
          <w:tcPr>
            <w:tcW w:w="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380" w:type="dxa"/>
            <w:vAlign w:val="bottom"/>
            <w:gridSpan w:val="2"/>
            <w:vMerge w:val="continue"/>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1"/>
              </w:rPr>
              <w:t>Base Salary</w:t>
            </w:r>
          </w:p>
        </w:tc>
        <w:tc>
          <w:tcPr>
            <w:tcW w:w="280" w:type="dxa"/>
            <w:vAlign w:val="bottom"/>
          </w:tcPr>
          <w:p>
            <w:pPr>
              <w:spacing w:after="0"/>
              <w:rPr>
                <w:sz w:val="10"/>
                <w:szCs w:val="10"/>
                <w:color w:val="auto"/>
              </w:rPr>
            </w:pPr>
          </w:p>
        </w:tc>
        <w:tc>
          <w:tcPr>
            <w:tcW w:w="1200" w:type="dxa"/>
            <w:vAlign w:val="bottom"/>
          </w:tcPr>
          <w:p>
            <w:pPr>
              <w:ind w:left="340"/>
              <w:spacing w:after="0"/>
              <w:rPr>
                <w:sz w:val="20"/>
                <w:szCs w:val="20"/>
                <w:color w:val="auto"/>
              </w:rPr>
            </w:pPr>
            <w:r>
              <w:rPr>
                <w:rFonts w:ascii="Arial" w:cs="Arial" w:eastAsia="Arial" w:hAnsi="Arial"/>
                <w:sz w:val="10"/>
                <w:szCs w:val="10"/>
                <w:b w:val="1"/>
                <w:bCs w:val="1"/>
                <w:color w:val="auto"/>
              </w:rPr>
              <w:t>Cash Bonus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3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112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75%</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157"/>
        </w:trPr>
        <w:tc>
          <w:tcPr>
            <w:tcW w:w="7380" w:type="dxa"/>
            <w:vAlign w:val="bottom"/>
            <w:gridSpan w:val="2"/>
          </w:tcPr>
          <w:p>
            <w:pPr>
              <w:spacing w:after="0"/>
              <w:rPr>
                <w:sz w:val="20"/>
                <w:szCs w:val="20"/>
                <w:color w:val="auto"/>
              </w:rPr>
            </w:pPr>
            <w:r>
              <w:rPr>
                <w:rFonts w:ascii="Arial" w:cs="Arial" w:eastAsia="Arial" w:hAnsi="Arial"/>
                <w:sz w:val="13"/>
                <w:szCs w:val="13"/>
                <w:color w:val="auto"/>
              </w:rPr>
              <w:t>Daniel P. McGahn</w:t>
            </w:r>
          </w:p>
        </w:tc>
        <w:tc>
          <w:tcPr>
            <w:tcW w:w="1120" w:type="dxa"/>
            <w:vAlign w:val="bottom"/>
          </w:tcPr>
          <w:p>
            <w:pPr>
              <w:jc w:val="right"/>
              <w:ind w:right="319"/>
              <w:spacing w:after="0"/>
              <w:rPr>
                <w:sz w:val="20"/>
                <w:szCs w:val="20"/>
                <w:color w:val="auto"/>
              </w:rPr>
            </w:pPr>
            <w:r>
              <w:rPr>
                <w:rFonts w:ascii="Arial" w:cs="Arial" w:eastAsia="Arial" w:hAnsi="Arial"/>
                <w:sz w:val="13"/>
                <w:szCs w:val="13"/>
                <w:color w:val="auto"/>
              </w:rPr>
              <w:t>65%</w:t>
            </w:r>
          </w:p>
        </w:tc>
        <w:tc>
          <w:tcPr>
            <w:tcW w:w="1480" w:type="dxa"/>
            <w:vAlign w:val="bottom"/>
            <w:gridSpan w:val="2"/>
          </w:tcPr>
          <w:p>
            <w:pPr>
              <w:ind w:left="600"/>
              <w:spacing w:after="0"/>
              <w:rPr>
                <w:sz w:val="20"/>
                <w:szCs w:val="20"/>
                <w:color w:val="auto"/>
              </w:rPr>
            </w:pPr>
            <w:r>
              <w:rPr>
                <w:rFonts w:ascii="Arial" w:cs="Arial" w:eastAsia="Arial" w:hAnsi="Arial"/>
                <w:sz w:val="13"/>
                <w:szCs w:val="13"/>
                <w:color w:val="auto"/>
              </w:rPr>
              <w:t>$214,500</w:t>
            </w:r>
          </w:p>
        </w:tc>
        <w:tc>
          <w:tcPr>
            <w:tcW w:w="0" w:type="dxa"/>
            <w:vAlign w:val="bottom"/>
          </w:tcPr>
          <w:p>
            <w:pPr>
              <w:spacing w:after="0"/>
              <w:rPr>
                <w:sz w:val="1"/>
                <w:szCs w:val="1"/>
                <w:color w:val="auto"/>
              </w:rPr>
            </w:pPr>
          </w:p>
        </w:tc>
      </w:tr>
      <w:tr>
        <w:trPr>
          <w:trHeight w:val="157"/>
        </w:trPr>
        <w:tc>
          <w:tcPr>
            <w:tcW w:w="7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A. Henry</w:t>
            </w:r>
          </w:p>
        </w:tc>
        <w:tc>
          <w:tcPr>
            <w:tcW w:w="112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50%</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$147,500</w:t>
            </w:r>
          </w:p>
        </w:tc>
        <w:tc>
          <w:tcPr>
            <w:tcW w:w="0" w:type="dxa"/>
            <w:vAlign w:val="bottom"/>
          </w:tcPr>
          <w:p>
            <w:pPr>
              <w:spacing w:after="0"/>
              <w:rPr>
                <w:sz w:val="1"/>
                <w:szCs w:val="1"/>
                <w:color w:val="auto"/>
              </w:rPr>
            </w:pPr>
          </w:p>
        </w:tc>
      </w:tr>
      <w:tr>
        <w:trPr>
          <w:trHeight w:val="157"/>
        </w:trPr>
        <w:tc>
          <w:tcPr>
            <w:tcW w:w="7380" w:type="dxa"/>
            <w:vAlign w:val="bottom"/>
            <w:gridSpan w:val="2"/>
          </w:tcPr>
          <w:p>
            <w:pPr>
              <w:spacing w:after="0"/>
              <w:rPr>
                <w:sz w:val="20"/>
                <w:szCs w:val="20"/>
                <w:color w:val="auto"/>
              </w:rPr>
            </w:pPr>
            <w:r>
              <w:rPr>
                <w:rFonts w:ascii="Arial" w:cs="Arial" w:eastAsia="Arial" w:hAnsi="Arial"/>
                <w:sz w:val="13"/>
                <w:szCs w:val="13"/>
                <w:color w:val="auto"/>
              </w:rPr>
              <w:t>John R. Collett</w:t>
            </w:r>
          </w:p>
        </w:tc>
        <w:tc>
          <w:tcPr>
            <w:tcW w:w="1120" w:type="dxa"/>
            <w:vAlign w:val="bottom"/>
          </w:tcPr>
          <w:p>
            <w:pPr>
              <w:jc w:val="right"/>
              <w:ind w:right="319"/>
              <w:spacing w:after="0"/>
              <w:rPr>
                <w:sz w:val="20"/>
                <w:szCs w:val="20"/>
                <w:color w:val="auto"/>
              </w:rPr>
            </w:pPr>
            <w:r>
              <w:rPr>
                <w:rFonts w:ascii="Arial" w:cs="Arial" w:eastAsia="Arial" w:hAnsi="Arial"/>
                <w:sz w:val="13"/>
                <w:szCs w:val="13"/>
                <w:color w:val="auto"/>
              </w:rPr>
              <w:t>50%</w:t>
            </w:r>
          </w:p>
        </w:tc>
        <w:tc>
          <w:tcPr>
            <w:tcW w:w="1480" w:type="dxa"/>
            <w:vAlign w:val="bottom"/>
            <w:gridSpan w:val="2"/>
          </w:tcPr>
          <w:p>
            <w:pPr>
              <w:ind w:left="600"/>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57"/>
        </w:trPr>
        <w:tc>
          <w:tcPr>
            <w:tcW w:w="7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112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50%</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$160,500</w:t>
            </w:r>
          </w:p>
        </w:tc>
        <w:tc>
          <w:tcPr>
            <w:tcW w:w="0" w:type="dxa"/>
            <w:vAlign w:val="bottom"/>
          </w:tcPr>
          <w:p>
            <w:pPr>
              <w:spacing w:after="0"/>
              <w:rPr>
                <w:sz w:val="1"/>
                <w:szCs w:val="1"/>
                <w:color w:val="auto"/>
              </w:rPr>
            </w:pPr>
          </w:p>
        </w:tc>
      </w:tr>
      <w:tr>
        <w:trPr>
          <w:trHeight w:val="165"/>
        </w:trPr>
        <w:tc>
          <w:tcPr>
            <w:tcW w:w="7380" w:type="dxa"/>
            <w:vAlign w:val="bottom"/>
            <w:gridSpan w:val="2"/>
          </w:tcPr>
          <w:p>
            <w:pPr>
              <w:spacing w:after="0"/>
              <w:rPr>
                <w:sz w:val="20"/>
                <w:szCs w:val="20"/>
                <w:color w:val="auto"/>
              </w:rPr>
            </w:pPr>
            <w:r>
              <w:rPr>
                <w:rFonts w:ascii="Arial" w:cs="Arial" w:eastAsia="Arial" w:hAnsi="Arial"/>
                <w:sz w:val="13"/>
                <w:szCs w:val="13"/>
                <w:color w:val="auto"/>
              </w:rPr>
              <w:t>Susan J. DiCecco</w:t>
            </w:r>
          </w:p>
        </w:tc>
        <w:tc>
          <w:tcPr>
            <w:tcW w:w="1120" w:type="dxa"/>
            <w:vAlign w:val="bottom"/>
          </w:tcPr>
          <w:p>
            <w:pPr>
              <w:jc w:val="right"/>
              <w:ind w:right="319"/>
              <w:spacing w:after="0"/>
              <w:rPr>
                <w:sz w:val="20"/>
                <w:szCs w:val="20"/>
                <w:color w:val="auto"/>
              </w:rPr>
            </w:pPr>
            <w:r>
              <w:rPr>
                <w:rFonts w:ascii="Arial" w:cs="Arial" w:eastAsia="Arial" w:hAnsi="Arial"/>
                <w:sz w:val="13"/>
                <w:szCs w:val="13"/>
                <w:color w:val="auto"/>
              </w:rPr>
              <w:t>50%</w:t>
            </w:r>
          </w:p>
        </w:tc>
        <w:tc>
          <w:tcPr>
            <w:tcW w:w="1480" w:type="dxa"/>
            <w:vAlign w:val="bottom"/>
            <w:gridSpan w:val="2"/>
          </w:tcPr>
          <w:p>
            <w:pPr>
              <w:ind w:left="600"/>
              <w:spacing w:after="0"/>
              <w:rPr>
                <w:sz w:val="20"/>
                <w:szCs w:val="20"/>
                <w:color w:val="auto"/>
              </w:rPr>
            </w:pPr>
            <w:r>
              <w:rPr>
                <w:rFonts w:ascii="Arial" w:cs="Arial" w:eastAsia="Arial" w:hAnsi="Arial"/>
                <w:sz w:val="13"/>
                <w:szCs w:val="13"/>
                <w:color w:val="auto"/>
              </w:rPr>
              <w:t>$112,500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Compensation Committee is responsible for determining the cash payout under the plan to each executive officer other than the chief executive officer. Our Board determines the cash payout under the plan for the chief executive officer, taking into account the recommendation of the Compensation Committee.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cash bonus opportunity for the named executive officers under each performance metric under the fiscal 2010 executive incentive plan.</w:t>
      </w:r>
    </w:p>
    <w:p>
      <w:pPr>
        <w:spacing w:after="0" w:line="96"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Milestones and achievement for the Non-GAAP Net Income (40%) bonus measure: </w:t>
      </w:r>
      <w:r>
        <w:rPr>
          <w:rFonts w:ascii="Arial" w:cs="Arial" w:eastAsia="Arial" w:hAnsi="Arial"/>
          <w:sz w:val="13"/>
          <w:szCs w:val="13"/>
          <w:color w:val="auto"/>
        </w:rPr>
        <w:t>All of the named executive officers had the same Non-GAAP Net Income threshold that had to be</w:t>
      </w:r>
      <w:r>
        <w:rPr>
          <w:rFonts w:ascii="Arial" w:cs="Arial" w:eastAsia="Arial" w:hAnsi="Arial"/>
          <w:sz w:val="13"/>
          <w:szCs w:val="13"/>
          <w:i w:val="1"/>
          <w:iCs w:val="1"/>
          <w:color w:val="auto"/>
        </w:rPr>
        <w:t xml:space="preserve"> </w:t>
      </w:r>
      <w:r>
        <w:rPr>
          <w:rFonts w:ascii="Arial" w:cs="Arial" w:eastAsia="Arial" w:hAnsi="Arial"/>
          <w:sz w:val="13"/>
          <w:szCs w:val="13"/>
          <w:color w:val="auto"/>
        </w:rPr>
        <w:t>met before payout could be earned. The fiscal 2010 milestones and achievement levels for our company’s Non-GAAP Net Income measure are shown below. An executive’s payout on this measure was determined through a numerical calculation based on our company’s Non-GAAP Net Income so the Compensation Committee (or, in the case of our chief executive officer, our Board) did not need to apply discretion.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5120" w:type="dxa"/>
            <w:vAlign w:val="bottom"/>
            <w:tcBorders>
              <w:bottom w:val="single" w:sz="8" w:color="auto"/>
            </w:tcBorders>
            <w:gridSpan w:val="4"/>
          </w:tcPr>
          <w:p>
            <w:pPr>
              <w:ind w:left="1400"/>
              <w:spacing w:after="0"/>
              <w:rPr>
                <w:sz w:val="20"/>
                <w:szCs w:val="20"/>
                <w:color w:val="auto"/>
              </w:rPr>
            </w:pPr>
            <w:r>
              <w:rPr>
                <w:rFonts w:ascii="Arial" w:cs="Arial" w:eastAsia="Arial" w:hAnsi="Arial"/>
                <w:sz w:val="10"/>
                <w:szCs w:val="10"/>
                <w:b w:val="1"/>
                <w:bCs w:val="1"/>
                <w:color w:val="auto"/>
              </w:rPr>
              <w:t>Fiscal 2010 Milestones and Achievement for Company Non-GAAP Net Income</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960" w:type="dxa"/>
            <w:vAlign w:val="bottom"/>
          </w:tcPr>
          <w:p>
            <w:pPr>
              <w:jc w:val="right"/>
              <w:ind w:right="181"/>
              <w:spacing w:after="0" w:line="81" w:lineRule="exact"/>
              <w:rPr>
                <w:sz w:val="20"/>
                <w:szCs w:val="20"/>
                <w:color w:val="auto"/>
              </w:rPr>
            </w:pPr>
            <w:r>
              <w:rPr>
                <w:rFonts w:ascii="Arial" w:cs="Arial" w:eastAsia="Arial" w:hAnsi="Arial"/>
                <w:sz w:val="9"/>
                <w:szCs w:val="9"/>
                <w:b w:val="1"/>
                <w:bCs w:val="1"/>
                <w:color w:val="auto"/>
              </w:rPr>
              <w:t>Threshold</w:t>
            </w:r>
          </w:p>
        </w:tc>
        <w:tc>
          <w:tcPr>
            <w:tcW w:w="260" w:type="dxa"/>
            <w:vAlign w:val="bottom"/>
          </w:tcPr>
          <w:p>
            <w:pPr>
              <w:spacing w:after="0"/>
              <w:rPr>
                <w:sz w:val="7"/>
                <w:szCs w:val="7"/>
                <w:color w:val="auto"/>
              </w:rPr>
            </w:pPr>
          </w:p>
        </w:tc>
        <w:tc>
          <w:tcPr>
            <w:tcW w:w="720" w:type="dxa"/>
            <w:vAlign w:val="bottom"/>
          </w:tcPr>
          <w:p>
            <w:pPr>
              <w:jc w:val="right"/>
              <w:ind w:right="164"/>
              <w:spacing w:after="0" w:line="81" w:lineRule="exact"/>
              <w:rPr>
                <w:sz w:val="20"/>
                <w:szCs w:val="20"/>
                <w:color w:val="auto"/>
              </w:rPr>
            </w:pPr>
            <w:r>
              <w:rPr>
                <w:rFonts w:ascii="Arial" w:cs="Arial" w:eastAsia="Arial" w:hAnsi="Arial"/>
                <w:sz w:val="9"/>
                <w:szCs w:val="9"/>
                <w:b w:val="1"/>
                <w:bCs w:val="1"/>
                <w:color w:val="auto"/>
              </w:rPr>
              <w:t>Target</w:t>
            </w:r>
          </w:p>
        </w:tc>
        <w:tc>
          <w:tcPr>
            <w:tcW w:w="280" w:type="dxa"/>
            <w:vAlign w:val="bottom"/>
          </w:tcPr>
          <w:p>
            <w:pPr>
              <w:spacing w:after="0"/>
              <w:rPr>
                <w:sz w:val="7"/>
                <w:szCs w:val="7"/>
                <w:color w:val="auto"/>
              </w:rPr>
            </w:pPr>
          </w:p>
        </w:tc>
        <w:tc>
          <w:tcPr>
            <w:tcW w:w="920" w:type="dxa"/>
            <w:vAlign w:val="bottom"/>
          </w:tcPr>
          <w:p>
            <w:pPr>
              <w:jc w:val="right"/>
              <w:ind w:right="164"/>
              <w:spacing w:after="0" w:line="81" w:lineRule="exact"/>
              <w:rPr>
                <w:sz w:val="20"/>
                <w:szCs w:val="20"/>
                <w:color w:val="auto"/>
              </w:rPr>
            </w:pPr>
            <w:r>
              <w:rPr>
                <w:rFonts w:ascii="Arial" w:cs="Arial" w:eastAsia="Arial" w:hAnsi="Arial"/>
                <w:sz w:val="9"/>
                <w:szCs w:val="9"/>
                <w:b w:val="1"/>
                <w:bCs w:val="1"/>
                <w:color w:val="auto"/>
              </w:rPr>
              <w:t>Maximum</w:t>
            </w: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60" w:type="dxa"/>
            <w:vAlign w:val="bottom"/>
          </w:tcPr>
          <w:p>
            <w:pPr>
              <w:jc w:val="right"/>
              <w:ind w:right="281"/>
              <w:spacing w:after="0"/>
              <w:rPr>
                <w:sz w:val="20"/>
                <w:szCs w:val="20"/>
                <w:color w:val="auto"/>
              </w:rPr>
            </w:pPr>
            <w:r>
              <w:rPr>
                <w:rFonts w:ascii="Arial" w:cs="Arial" w:eastAsia="Arial" w:hAnsi="Arial"/>
                <w:sz w:val="10"/>
                <w:szCs w:val="10"/>
                <w:b w:val="1"/>
                <w:bCs w:val="1"/>
                <w:color w:val="auto"/>
              </w:rPr>
              <w:t>(80%)</w:t>
            </w:r>
          </w:p>
        </w:tc>
        <w:tc>
          <w:tcPr>
            <w:tcW w:w="980" w:type="dxa"/>
            <w:vAlign w:val="bottom"/>
            <w:gridSpan w:val="2"/>
          </w:tcPr>
          <w:p>
            <w:pPr>
              <w:jc w:val="right"/>
              <w:ind w:right="144"/>
              <w:spacing w:after="0"/>
              <w:rPr>
                <w:sz w:val="20"/>
                <w:szCs w:val="20"/>
                <w:color w:val="auto"/>
              </w:rPr>
            </w:pPr>
            <w:r>
              <w:rPr>
                <w:rFonts w:ascii="Arial" w:cs="Arial" w:eastAsia="Arial" w:hAnsi="Arial"/>
                <w:sz w:val="10"/>
                <w:szCs w:val="10"/>
                <w:b w:val="1"/>
                <w:bCs w:val="1"/>
                <w:color w:val="auto"/>
              </w:rPr>
              <w:t>(100%)</w:t>
            </w:r>
          </w:p>
        </w:tc>
        <w:tc>
          <w:tcPr>
            <w:tcW w:w="1200" w:type="dxa"/>
            <w:vAlign w:val="bottom"/>
            <w:gridSpan w:val="2"/>
          </w:tcPr>
          <w:p>
            <w:pPr>
              <w:jc w:val="right"/>
              <w:ind w:right="244"/>
              <w:spacing w:after="0"/>
              <w:rPr>
                <w:sz w:val="20"/>
                <w:szCs w:val="20"/>
                <w:color w:val="auto"/>
              </w:rPr>
            </w:pPr>
            <w:r>
              <w:rPr>
                <w:rFonts w:ascii="Arial" w:cs="Arial" w:eastAsia="Arial" w:hAnsi="Arial"/>
                <w:sz w:val="10"/>
                <w:szCs w:val="10"/>
                <w:b w:val="1"/>
                <w:bCs w:val="1"/>
                <w:color w:val="auto"/>
              </w:rPr>
              <w:t>(156%)</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w:t>
            </w: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 Milestones:</w:t>
            </w:r>
          </w:p>
        </w:tc>
        <w:tc>
          <w:tcPr>
            <w:tcW w:w="960" w:type="dxa"/>
            <w:vAlign w:val="bottom"/>
            <w:shd w:val="clear" w:color="auto" w:fill="CCEEFF"/>
          </w:tcPr>
          <w:p>
            <w:pPr>
              <w:jc w:val="right"/>
              <w:ind w:right="221"/>
              <w:spacing w:after="0"/>
              <w:rPr>
                <w:sz w:val="20"/>
                <w:szCs w:val="20"/>
                <w:color w:val="auto"/>
              </w:rPr>
            </w:pPr>
            <w:r>
              <w:rPr>
                <w:rFonts w:ascii="Arial" w:cs="Arial" w:eastAsia="Arial" w:hAnsi="Arial"/>
                <w:sz w:val="13"/>
                <w:szCs w:val="13"/>
                <w:color w:val="auto"/>
              </w:rPr>
              <w:t>$ 45.5M</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$56.9M</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4"/>
              <w:spacing w:after="0"/>
              <w:rPr>
                <w:sz w:val="20"/>
                <w:szCs w:val="20"/>
                <w:color w:val="auto"/>
              </w:rPr>
            </w:pPr>
            <w:r>
              <w:rPr>
                <w:rFonts w:ascii="Arial" w:cs="Arial" w:eastAsia="Arial" w:hAnsi="Arial"/>
                <w:sz w:val="13"/>
                <w:szCs w:val="13"/>
                <w:color w:val="auto"/>
              </w:rPr>
              <w:t>$64.8M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3"/>
                <w:szCs w:val="13"/>
                <w:color w:val="auto"/>
              </w:rPr>
              <w:t>Non-GAAP Net Income Result:</w:t>
            </w:r>
          </w:p>
        </w:tc>
        <w:tc>
          <w:tcPr>
            <w:tcW w:w="960" w:type="dxa"/>
            <w:vAlign w:val="bottom"/>
          </w:tcPr>
          <w:p>
            <w:pPr>
              <w:jc w:val="right"/>
              <w:ind w:right="181"/>
              <w:spacing w:after="0"/>
              <w:rPr>
                <w:sz w:val="20"/>
                <w:szCs w:val="20"/>
                <w:color w:val="auto"/>
              </w:rPr>
            </w:pPr>
            <w:r>
              <w:rPr>
                <w:rFonts w:ascii="Arial" w:cs="Arial" w:eastAsia="Arial" w:hAnsi="Arial"/>
                <w:sz w:val="13"/>
                <w:szCs w:val="13"/>
                <w:color w:val="auto"/>
              </w:rPr>
              <w:t>$(12.8M)</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Bonus Opportunity</w:t>
            </w: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 Achievement: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rPr>
              <w:t>0%</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80" w:type="dxa"/>
            <w:vAlign w:val="bottom"/>
          </w:tcPr>
          <w:p>
            <w:pPr>
              <w:ind w:left="1240"/>
              <w:spacing w:after="0"/>
              <w:rPr>
                <w:sz w:val="20"/>
                <w:szCs w:val="20"/>
                <w:color w:val="auto"/>
              </w:rPr>
            </w:pPr>
            <w:r>
              <w:rPr>
                <w:rFonts w:ascii="Arial" w:cs="Arial" w:eastAsia="Arial" w:hAnsi="Arial"/>
                <w:sz w:val="13"/>
                <w:szCs w:val="13"/>
                <w:color w:val="auto"/>
              </w:rPr>
              <w:t>115</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company’s Non-GAAP Net Income for fiscal 2010 was significantly less than the threshold payout level. As a result, the Compensation Committee (or, in the case of our chief executive officer, our Board) awarded no bonuses under the Non-GAAP Net Income measure to any named executive officer as summarized in the following:</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restart"/>
          </w:tcPr>
          <w:p>
            <w:pPr>
              <w:jc w:val="center"/>
              <w:ind w:right="238"/>
              <w:spacing w:after="0"/>
              <w:rPr>
                <w:sz w:val="20"/>
                <w:szCs w:val="20"/>
                <w:color w:val="auto"/>
              </w:rPr>
            </w:pPr>
            <w:r>
              <w:rPr>
                <w:rFonts w:ascii="Arial" w:cs="Arial" w:eastAsia="Arial" w:hAnsi="Arial"/>
                <w:sz w:val="10"/>
                <w:szCs w:val="10"/>
                <w:b w:val="1"/>
                <w:bCs w:val="1"/>
                <w:color w:val="auto"/>
                <w:w w:val="98"/>
              </w:rPr>
              <w:t>Target</w:t>
            </w:r>
          </w:p>
        </w:tc>
        <w:tc>
          <w:tcPr>
            <w:tcW w:w="280" w:type="dxa"/>
            <w:vAlign w:val="bottom"/>
          </w:tcPr>
          <w:p>
            <w:pPr>
              <w:spacing w:after="0"/>
              <w:rPr>
                <w:sz w:val="10"/>
                <w:szCs w:val="10"/>
                <w:color w:val="auto"/>
              </w:rPr>
            </w:pPr>
          </w:p>
        </w:tc>
        <w:tc>
          <w:tcPr>
            <w:tcW w:w="68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 of</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Target</w:t>
            </w:r>
          </w:p>
        </w:tc>
        <w:tc>
          <w:tcPr>
            <w:tcW w:w="0" w:type="dxa"/>
            <w:vAlign w:val="bottom"/>
          </w:tcPr>
          <w:p>
            <w:pPr>
              <w:spacing w:after="0"/>
              <w:rPr>
                <w:sz w:val="1"/>
                <w:szCs w:val="1"/>
                <w:color w:val="auto"/>
              </w:rPr>
            </w:pPr>
          </w:p>
        </w:tc>
      </w:tr>
      <w:tr>
        <w:trPr>
          <w:trHeight w:val="118"/>
        </w:trPr>
        <w:tc>
          <w:tcPr>
            <w:tcW w:w="6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00" w:type="dxa"/>
            <w:vAlign w:val="bottom"/>
          </w:tcPr>
          <w:p>
            <w:pPr>
              <w:spacing w:after="0"/>
              <w:rPr>
                <w:sz w:val="10"/>
                <w:szCs w:val="10"/>
                <w:color w:val="auto"/>
              </w:rPr>
            </w:pPr>
          </w:p>
        </w:tc>
        <w:tc>
          <w:tcPr>
            <w:tcW w:w="720" w:type="dxa"/>
            <w:vAlign w:val="bottom"/>
          </w:tcPr>
          <w:p>
            <w:pPr>
              <w:jc w:val="center"/>
              <w:ind w:right="258"/>
              <w:spacing w:after="0"/>
              <w:rPr>
                <w:sz w:val="20"/>
                <w:szCs w:val="20"/>
                <w:color w:val="auto"/>
              </w:rPr>
            </w:pPr>
            <w:r>
              <w:rPr>
                <w:rFonts w:ascii="Arial" w:cs="Arial" w:eastAsia="Arial" w:hAnsi="Arial"/>
                <w:sz w:val="10"/>
                <w:szCs w:val="10"/>
                <w:b w:val="1"/>
                <w:bCs w:val="1"/>
                <w:color w:val="auto"/>
                <w:w w:val="89"/>
              </w:rPr>
              <w:t>Bonus</w:t>
            </w:r>
          </w:p>
        </w:tc>
        <w:tc>
          <w:tcPr>
            <w:tcW w:w="2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Payout</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Bonus</w:t>
            </w:r>
          </w:p>
        </w:tc>
        <w:tc>
          <w:tcPr>
            <w:tcW w:w="0" w:type="dxa"/>
            <w:vAlign w:val="bottom"/>
          </w:tcPr>
          <w:p>
            <w:pPr>
              <w:spacing w:after="0"/>
              <w:rPr>
                <w:sz w:val="1"/>
                <w:szCs w:val="1"/>
                <w:color w:val="auto"/>
              </w:rPr>
            </w:pPr>
          </w:p>
        </w:tc>
      </w:tr>
      <w:tr>
        <w:trPr>
          <w:trHeight w:val="125"/>
        </w:trPr>
        <w:tc>
          <w:tcPr>
            <w:tcW w:w="6820" w:type="dxa"/>
            <w:vAlign w:val="bottom"/>
            <w:gridSpan w:val="2"/>
            <w:vMerge w:val="continue"/>
          </w:tcPr>
          <w:p>
            <w:pPr>
              <w:spacing w:after="0"/>
              <w:rPr>
                <w:sz w:val="10"/>
                <w:szCs w:val="10"/>
                <w:color w:val="auto"/>
              </w:rPr>
            </w:pPr>
          </w:p>
        </w:tc>
        <w:tc>
          <w:tcPr>
            <w:tcW w:w="1020" w:type="dxa"/>
            <w:vAlign w:val="bottom"/>
            <w:gridSpan w:val="2"/>
          </w:tcPr>
          <w:p>
            <w:pPr>
              <w:jc w:val="center"/>
              <w:spacing w:after="0"/>
              <w:rPr>
                <w:sz w:val="20"/>
                <w:szCs w:val="20"/>
                <w:color w:val="auto"/>
              </w:rPr>
            </w:pPr>
            <w:r>
              <w:rPr>
                <w:rFonts w:ascii="Arial" w:cs="Arial" w:eastAsia="Arial" w:hAnsi="Arial"/>
                <w:sz w:val="10"/>
                <w:szCs w:val="10"/>
                <w:b w:val="1"/>
                <w:bCs w:val="1"/>
                <w:color w:val="auto"/>
              </w:rPr>
              <w:t>for Metric</w:t>
            </w:r>
          </w:p>
        </w:tc>
        <w:tc>
          <w:tcPr>
            <w:tcW w:w="2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for Metric</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7"/>
              </w:rPr>
              <w:t>Opportunity</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w w:val="85"/>
              </w:rPr>
              <w:t>180,000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820" w:type="dxa"/>
            <w:vAlign w:val="bottom"/>
            <w:gridSpan w:val="2"/>
          </w:tcPr>
          <w:p>
            <w:pPr>
              <w:spacing w:after="0"/>
              <w:rPr>
                <w:sz w:val="20"/>
                <w:szCs w:val="20"/>
                <w:color w:val="auto"/>
              </w:rPr>
            </w:pPr>
            <w:r>
              <w:rPr>
                <w:rFonts w:ascii="Arial" w:cs="Arial" w:eastAsia="Arial" w:hAnsi="Arial"/>
                <w:sz w:val="13"/>
                <w:szCs w:val="13"/>
                <w:color w:val="auto"/>
              </w:rPr>
              <w:t>Daniel P. McGahn</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238"/>
              <w:spacing w:after="0"/>
              <w:rPr>
                <w:sz w:val="20"/>
                <w:szCs w:val="20"/>
                <w:color w:val="auto"/>
              </w:rPr>
            </w:pPr>
            <w:r>
              <w:rPr>
                <w:rFonts w:ascii="Arial" w:cs="Arial" w:eastAsia="Arial" w:hAnsi="Arial"/>
                <w:sz w:val="13"/>
                <w:szCs w:val="13"/>
                <w:color w:val="auto"/>
              </w:rPr>
              <w:t>85,800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A. Henry</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59,000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820" w:type="dxa"/>
            <w:vAlign w:val="bottom"/>
            <w:gridSpan w:val="2"/>
          </w:tcPr>
          <w:p>
            <w:pPr>
              <w:spacing w:after="0"/>
              <w:rPr>
                <w:sz w:val="20"/>
                <w:szCs w:val="20"/>
                <w:color w:val="auto"/>
              </w:rPr>
            </w:pPr>
            <w:r>
              <w:rPr>
                <w:rFonts w:ascii="Arial" w:cs="Arial" w:eastAsia="Arial" w:hAnsi="Arial"/>
                <w:sz w:val="13"/>
                <w:szCs w:val="13"/>
                <w:color w:val="auto"/>
              </w:rPr>
              <w:t>John R. Collett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238"/>
              <w:spacing w:after="0"/>
              <w:rPr>
                <w:sz w:val="20"/>
                <w:szCs w:val="20"/>
                <w:color w:val="auto"/>
              </w:rPr>
            </w:pPr>
            <w:r>
              <w:rPr>
                <w:rFonts w:ascii="Arial" w:cs="Arial" w:eastAsia="Arial" w:hAnsi="Arial"/>
                <w:sz w:val="13"/>
                <w:szCs w:val="13"/>
                <w:color w:val="auto"/>
              </w:rPr>
              <w:t>50,000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64,200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5"/>
        </w:trPr>
        <w:tc>
          <w:tcPr>
            <w:tcW w:w="6820" w:type="dxa"/>
            <w:vAlign w:val="bottom"/>
            <w:gridSpan w:val="2"/>
          </w:tcPr>
          <w:p>
            <w:pPr>
              <w:spacing w:after="0"/>
              <w:rPr>
                <w:sz w:val="20"/>
                <w:szCs w:val="20"/>
                <w:color w:val="auto"/>
              </w:rPr>
            </w:pPr>
            <w:r>
              <w:rPr>
                <w:rFonts w:ascii="Arial" w:cs="Arial" w:eastAsia="Arial" w:hAnsi="Arial"/>
                <w:sz w:val="13"/>
                <w:szCs w:val="13"/>
                <w:color w:val="auto"/>
              </w:rPr>
              <w:t>Susan J. DiCecco</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238"/>
              <w:spacing w:after="0"/>
              <w:rPr>
                <w:sz w:val="20"/>
                <w:szCs w:val="20"/>
                <w:color w:val="auto"/>
              </w:rPr>
            </w:pPr>
            <w:r>
              <w:rPr>
                <w:rFonts w:ascii="Arial" w:cs="Arial" w:eastAsia="Arial" w:hAnsi="Arial"/>
                <w:sz w:val="13"/>
                <w:szCs w:val="13"/>
                <w:color w:val="auto"/>
              </w:rPr>
              <w:t>45,000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i w:val="1"/>
          <w:iCs w:val="1"/>
          <w:color w:val="auto"/>
        </w:rPr>
        <w:t xml:space="preserve">Individual measurable objectives (40%): </w:t>
      </w:r>
      <w:r>
        <w:rPr>
          <w:rFonts w:ascii="Arial" w:cs="Arial" w:eastAsia="Arial" w:hAnsi="Arial"/>
          <w:sz w:val="12"/>
          <w:szCs w:val="12"/>
          <w:color w:val="auto"/>
        </w:rPr>
        <w:t>The cash bonus payment to each named executive officer under this measure depended upon achievement of performance objectives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to each named executive officer. These performance objectives were established at the beginning of fiscal 2010 and relate specifically to each officer’s function and department. The Compensation Committee (or, in the case of our chief executive officer, our Board) awarded bonuses under this measure to each named executive officer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820" w:type="dxa"/>
            <w:vAlign w:val="bottom"/>
          </w:tcPr>
          <w:p>
            <w:pPr>
              <w:spacing w:after="0"/>
              <w:rPr>
                <w:sz w:val="10"/>
                <w:szCs w:val="10"/>
                <w:color w:val="auto"/>
              </w:rPr>
            </w:pPr>
          </w:p>
        </w:tc>
        <w:tc>
          <w:tcPr>
            <w:tcW w:w="5480" w:type="dxa"/>
            <w:vAlign w:val="bottom"/>
            <w:tcBorders>
              <w:bottom w:val="single" w:sz="8" w:color="auto"/>
            </w:tcBorders>
            <w:gridSpan w:val="5"/>
          </w:tcPr>
          <w:p>
            <w:pPr>
              <w:ind w:left="2520"/>
              <w:spacing w:after="0"/>
              <w:rPr>
                <w:sz w:val="20"/>
                <w:szCs w:val="20"/>
                <w:color w:val="auto"/>
              </w:rPr>
            </w:pPr>
            <w:r>
              <w:rPr>
                <w:rFonts w:ascii="Arial" w:cs="Arial" w:eastAsia="Arial" w:hAnsi="Arial"/>
                <w:sz w:val="10"/>
                <w:szCs w:val="10"/>
                <w:b w:val="1"/>
                <w:bCs w:val="1"/>
                <w:color w:val="auto"/>
              </w:rPr>
              <w:t>Fiscal 2010 Individual Measurable Objectives</w:t>
            </w: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8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tcPr>
          <w:p>
            <w:pPr>
              <w:jc w:val="right"/>
              <w:ind w:right="360"/>
              <w:spacing w:after="0" w:line="91" w:lineRule="exact"/>
              <w:rPr>
                <w:sz w:val="20"/>
                <w:szCs w:val="20"/>
                <w:color w:val="auto"/>
              </w:rPr>
            </w:pPr>
            <w:r>
              <w:rPr>
                <w:rFonts w:ascii="Arial" w:cs="Arial" w:eastAsia="Arial" w:hAnsi="Arial"/>
                <w:sz w:val="10"/>
                <w:szCs w:val="10"/>
                <w:b w:val="1"/>
                <w:bCs w:val="1"/>
                <w:color w:val="auto"/>
              </w:rPr>
              <w:t>Achievement</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820" w:type="dxa"/>
            <w:vAlign w:val="bottom"/>
            <w:vMerge w:val="continue"/>
          </w:tcPr>
          <w:p>
            <w:pPr>
              <w:spacing w:after="0"/>
              <w:rPr>
                <w:sz w:val="10"/>
                <w:szCs w:val="10"/>
                <w:color w:val="auto"/>
              </w:rPr>
            </w:pPr>
          </w:p>
        </w:tc>
        <w:tc>
          <w:tcPr>
            <w:tcW w:w="4000" w:type="dxa"/>
            <w:vAlign w:val="bottom"/>
          </w:tcPr>
          <w:p>
            <w:pPr>
              <w:ind w:left="1800"/>
              <w:spacing w:after="0"/>
              <w:rPr>
                <w:sz w:val="20"/>
                <w:szCs w:val="20"/>
                <w:color w:val="auto"/>
              </w:rPr>
            </w:pPr>
            <w:r>
              <w:rPr>
                <w:rFonts w:ascii="Arial" w:cs="Arial" w:eastAsia="Arial" w:hAnsi="Arial"/>
                <w:sz w:val="10"/>
                <w:szCs w:val="10"/>
                <w:b w:val="1"/>
                <w:bCs w:val="1"/>
                <w:color w:val="auto"/>
              </w:rPr>
              <w:t>Measure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Target</w:t>
            </w:r>
          </w:p>
        </w:tc>
        <w:tc>
          <w:tcPr>
            <w:tcW w:w="11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 of Target)</w:t>
            </w:r>
          </w:p>
        </w:tc>
        <w:tc>
          <w:tcPr>
            <w:tcW w:w="6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5"/>
              </w:rPr>
              <w:t>Payout</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4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Gregory J. Yurek</w:t>
            </w: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AMSC Revenue (40)%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430.2M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Superconductors Business Unit Revenue (10)%</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11.7M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87%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New Orders (50)%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2"/>
                <w:szCs w:val="12"/>
                <w:color w:val="auto"/>
              </w:rPr>
              <w:t>Total Payout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Daniel P. McGahn</w:t>
            </w: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AMSC Revenue (40)%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430.2M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Superconductors Business Unit Revenue (10)%</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11.7M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87%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4,976</w:t>
            </w:r>
          </w:p>
        </w:tc>
        <w:tc>
          <w:tcPr>
            <w:tcW w:w="0" w:type="dxa"/>
            <w:vAlign w:val="bottom"/>
          </w:tcPr>
          <w:p>
            <w:pPr>
              <w:spacing w:after="0"/>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New Orders (25)%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Operating Expense as % of Revenue (25)%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Total Payout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4,976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2"/>
                <w:szCs w:val="12"/>
                <w:color w:val="auto"/>
              </w:rPr>
              <w:t>David A. Henry</w:t>
            </w:r>
          </w:p>
        </w:tc>
        <w:tc>
          <w:tcPr>
            <w:tcW w:w="4000" w:type="dxa"/>
            <w:vAlign w:val="bottom"/>
            <w:vMerge w:val="restart"/>
          </w:tcPr>
          <w:p>
            <w:pPr>
              <w:spacing w:after="0"/>
              <w:rPr>
                <w:sz w:val="20"/>
                <w:szCs w:val="20"/>
                <w:color w:val="auto"/>
              </w:rPr>
            </w:pPr>
            <w:r>
              <w:rPr>
                <w:rFonts w:ascii="Arial" w:cs="Arial" w:eastAsia="Arial" w:hAnsi="Arial"/>
                <w:sz w:val="12"/>
                <w:szCs w:val="12"/>
                <w:color w:val="auto"/>
              </w:rPr>
              <w:t>Effective Tax Rate (40)%</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40%</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50"/>
        </w:trPr>
        <w:tc>
          <w:tcPr>
            <w:tcW w:w="282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Operating Cash Flow (40)%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53.4M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New Orders (20)%</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Total Payout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2"/>
                <w:szCs w:val="12"/>
                <w:color w:val="auto"/>
              </w:rPr>
              <w:t>John R. Collett</w:t>
            </w:r>
          </w:p>
        </w:tc>
        <w:tc>
          <w:tcPr>
            <w:tcW w:w="4000" w:type="dxa"/>
            <w:vAlign w:val="bottom"/>
            <w:vMerge w:val="restart"/>
          </w:tcPr>
          <w:p>
            <w:pPr>
              <w:spacing w:after="0"/>
              <w:rPr>
                <w:sz w:val="20"/>
                <w:szCs w:val="20"/>
                <w:color w:val="auto"/>
              </w:rPr>
            </w:pPr>
            <w:r>
              <w:rPr>
                <w:rFonts w:ascii="Arial" w:cs="Arial" w:eastAsia="Arial" w:hAnsi="Arial"/>
                <w:sz w:val="12"/>
                <w:szCs w:val="12"/>
                <w:color w:val="auto"/>
              </w:rPr>
              <w:t>New Orders (60)%</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50"/>
        </w:trPr>
        <w:tc>
          <w:tcPr>
            <w:tcW w:w="282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Prominent US Licensee Approved by Board (40)%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Yes or No</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2"/>
                <w:szCs w:val="12"/>
                <w:color w:val="auto"/>
              </w:rPr>
              <w:t>Total Payout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Charles W. Stankiewicz</w:t>
            </w: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Power Systems Business Unit Operating Income (50)%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105.7M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Power Systems Business Unit Revenue (25)%</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418.5M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New Orders (25)%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2"/>
                <w:szCs w:val="12"/>
                <w:color w:val="auto"/>
              </w:rPr>
              <w:t>Total Payout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Susan J. DiCecco</w:t>
            </w: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ERP system “Go Live” (20)%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By 2/17/11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Manage New Hire Costs (20)%</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17.5M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156%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14,040</w:t>
            </w:r>
          </w:p>
        </w:tc>
        <w:tc>
          <w:tcPr>
            <w:tcW w:w="0" w:type="dxa"/>
            <w:vAlign w:val="bottom"/>
          </w:tcPr>
          <w:p>
            <w:pPr>
              <w:spacing w:after="0"/>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New Orders (20)%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378.6M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 below</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Annual Voluntary Turnover (10)%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industry average</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156%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7,020</w:t>
            </w:r>
          </w:p>
        </w:tc>
        <w:tc>
          <w:tcPr>
            <w:tcW w:w="0" w:type="dxa"/>
            <w:vAlign w:val="bottom"/>
          </w:tcPr>
          <w:p>
            <w:pPr>
              <w:spacing w:after="0"/>
              <w:rPr>
                <w:sz w:val="1"/>
                <w:szCs w:val="1"/>
                <w:color w:val="auto"/>
              </w:rPr>
            </w:pPr>
          </w:p>
        </w:tc>
      </w:tr>
      <w:tr>
        <w:trPr>
          <w:trHeight w:val="143"/>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 below</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Annual Recordable Injury Rate (10)%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industry average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7,020</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IT Capital Expense (20)%</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13.7M</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93%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7,110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Total Payout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44,190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-2889250</wp:posOffset>
            </wp:positionV>
            <wp:extent cx="1841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76" w:lineRule="auto"/>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On May 23, 2011, in connection with the retirement and services agreement we entered into with Dr. Yurek, we agreed that Dr. Yurek would not receive a performance-based cash bonus payment in fiscal 2010.</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i w:val="1"/>
          <w:iCs w:val="1"/>
          <w:color w:val="auto"/>
        </w:rPr>
        <w:t xml:space="preserve">Executive contribution to company’s achievement of financial and non-financial objectives — subjective performance measure (20%): </w:t>
      </w:r>
      <w:r>
        <w:rPr>
          <w:rFonts w:ascii="Arial" w:cs="Arial" w:eastAsia="Arial" w:hAnsi="Arial"/>
          <w:sz w:val="12"/>
          <w:szCs w:val="12"/>
          <w:color w:val="auto"/>
        </w:rPr>
        <w:t>Each named executive officer was also</w:t>
      </w:r>
      <w:r>
        <w:rPr>
          <w:rFonts w:ascii="Arial" w:cs="Arial" w:eastAsia="Arial" w:hAnsi="Arial"/>
          <w:sz w:val="12"/>
          <w:szCs w:val="12"/>
          <w:i w:val="1"/>
          <w:iCs w:val="1"/>
          <w:color w:val="auto"/>
        </w:rPr>
        <w:t xml:space="preserve"> </w:t>
      </w:r>
      <w:r>
        <w:rPr>
          <w:rFonts w:ascii="Arial" w:cs="Arial" w:eastAsia="Arial" w:hAnsi="Arial"/>
          <w:sz w:val="12"/>
          <w:szCs w:val="12"/>
          <w:color w:val="auto"/>
        </w:rPr>
        <w:t>evaluated upon his or her overall contribution during fiscal 2010 toward the achievement of our company’s financial and non-financial objectives. Assessment of achievement for these objectives was evaluated on the basis of a number of pre-determined factors relating to outcomes, timing, process, communication and leadership. The Compensation Committee (or, in the case of our chief executive officer, our Board) had discretionary authority to determine whether, and to what extent, these objectives had been achieved.</w:t>
      </w:r>
    </w:p>
    <w:p>
      <w:pPr>
        <w:spacing w:after="0" w:line="5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Because our company’s financial performance was significantly less than expected, the Compensation Committee (or, in the case of our chief executive officer, our Board) decided not to award any bonuses under this subjective measure to any named executive officer as summarized in the following:</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80" w:type="dxa"/>
            <w:vAlign w:val="bottom"/>
          </w:tcPr>
          <w:p>
            <w:pPr>
              <w:spacing w:after="0"/>
              <w:rPr>
                <w:sz w:val="10"/>
                <w:szCs w:val="10"/>
                <w:color w:val="auto"/>
              </w:rPr>
            </w:pPr>
          </w:p>
        </w:tc>
        <w:tc>
          <w:tcPr>
            <w:tcW w:w="134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Target Bonus</w:t>
            </w:r>
          </w:p>
        </w:tc>
        <w:tc>
          <w:tcPr>
            <w:tcW w:w="300" w:type="dxa"/>
            <w:vAlign w:val="bottom"/>
          </w:tcPr>
          <w:p>
            <w:pPr>
              <w:spacing w:after="0"/>
              <w:rPr>
                <w:sz w:val="10"/>
                <w:szCs w:val="10"/>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Total Payout</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9"/>
              </w:rPr>
              <w:t>% of Target</w:t>
            </w:r>
          </w:p>
        </w:tc>
        <w:tc>
          <w:tcPr>
            <w:tcW w:w="0" w:type="dxa"/>
            <w:vAlign w:val="bottom"/>
          </w:tcPr>
          <w:p>
            <w:pPr>
              <w:spacing w:after="0"/>
              <w:rPr>
                <w:sz w:val="1"/>
                <w:szCs w:val="1"/>
                <w:color w:val="auto"/>
              </w:rPr>
            </w:pPr>
          </w:p>
        </w:tc>
      </w:tr>
      <w:tr>
        <w:trPr>
          <w:trHeight w:val="118"/>
        </w:trPr>
        <w:tc>
          <w:tcPr>
            <w:tcW w:w="62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3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Bonus</w:t>
            </w:r>
          </w:p>
        </w:tc>
        <w:tc>
          <w:tcPr>
            <w:tcW w:w="0" w:type="dxa"/>
            <w:vAlign w:val="bottom"/>
          </w:tcPr>
          <w:p>
            <w:pPr>
              <w:spacing w:after="0"/>
              <w:rPr>
                <w:sz w:val="1"/>
                <w:szCs w:val="1"/>
                <w:color w:val="auto"/>
              </w:rPr>
            </w:pPr>
          </w:p>
        </w:tc>
      </w:tr>
      <w:tr>
        <w:trPr>
          <w:trHeight w:val="125"/>
        </w:trPr>
        <w:tc>
          <w:tcPr>
            <w:tcW w:w="6280" w:type="dxa"/>
            <w:vAlign w:val="bottom"/>
            <w:vMerge w:val="continue"/>
          </w:tcPr>
          <w:p>
            <w:pPr>
              <w:spacing w:after="0"/>
              <w:rPr>
                <w:sz w:val="10"/>
                <w:szCs w:val="10"/>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for Metric</w:t>
            </w:r>
          </w:p>
        </w:tc>
        <w:tc>
          <w:tcPr>
            <w:tcW w:w="300" w:type="dxa"/>
            <w:vAlign w:val="bottom"/>
          </w:tcPr>
          <w:p>
            <w:pPr>
              <w:spacing w:after="0"/>
              <w:rPr>
                <w:sz w:val="10"/>
                <w:szCs w:val="10"/>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for Metric</w:t>
            </w:r>
          </w:p>
        </w:tc>
        <w:tc>
          <w:tcPr>
            <w:tcW w:w="3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Opportunity</w:t>
            </w:r>
          </w:p>
        </w:tc>
        <w:tc>
          <w:tcPr>
            <w:tcW w:w="0" w:type="dxa"/>
            <w:vAlign w:val="bottom"/>
          </w:tcPr>
          <w:p>
            <w:pPr>
              <w:spacing w:after="0"/>
              <w:rPr>
                <w:sz w:val="1"/>
                <w:szCs w:val="1"/>
                <w:color w:val="auto"/>
              </w:rPr>
            </w:pPr>
          </w:p>
        </w:tc>
      </w:tr>
      <w:tr>
        <w:trPr>
          <w:trHeight w:val="29"/>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13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$90,000</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80" w:type="dxa"/>
            <w:vAlign w:val="bottom"/>
          </w:tcPr>
          <w:p>
            <w:pPr>
              <w:spacing w:after="0"/>
              <w:rPr>
                <w:sz w:val="20"/>
                <w:szCs w:val="20"/>
                <w:color w:val="auto"/>
              </w:rPr>
            </w:pPr>
            <w:r>
              <w:rPr>
                <w:rFonts w:ascii="Arial" w:cs="Arial" w:eastAsia="Arial" w:hAnsi="Arial"/>
                <w:sz w:val="13"/>
                <w:szCs w:val="13"/>
                <w:color w:val="auto"/>
              </w:rPr>
              <w:t>Daniel P. McGahn</w:t>
            </w:r>
          </w:p>
        </w:tc>
        <w:tc>
          <w:tcPr>
            <w:tcW w:w="1340" w:type="dxa"/>
            <w:vAlign w:val="bottom"/>
          </w:tcPr>
          <w:p>
            <w:pPr>
              <w:ind w:left="420"/>
              <w:spacing w:after="0"/>
              <w:rPr>
                <w:sz w:val="20"/>
                <w:szCs w:val="20"/>
                <w:color w:val="auto"/>
              </w:rPr>
            </w:pPr>
            <w:r>
              <w:rPr>
                <w:rFonts w:ascii="Arial" w:cs="Arial" w:eastAsia="Arial" w:hAnsi="Arial"/>
                <w:sz w:val="13"/>
                <w:szCs w:val="13"/>
                <w:color w:val="auto"/>
              </w:rPr>
              <w:t>$42,900</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David A. Henry</w:t>
            </w:r>
          </w:p>
        </w:tc>
        <w:tc>
          <w:tcPr>
            <w:tcW w:w="13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$29,500</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80" w:type="dxa"/>
            <w:vAlign w:val="bottom"/>
          </w:tcPr>
          <w:p>
            <w:pPr>
              <w:spacing w:after="0"/>
              <w:rPr>
                <w:sz w:val="20"/>
                <w:szCs w:val="20"/>
                <w:color w:val="auto"/>
              </w:rPr>
            </w:pPr>
            <w:r>
              <w:rPr>
                <w:rFonts w:ascii="Arial" w:cs="Arial" w:eastAsia="Arial" w:hAnsi="Arial"/>
                <w:sz w:val="13"/>
                <w:szCs w:val="13"/>
                <w:color w:val="auto"/>
              </w:rPr>
              <w:t>John R. Collett</w:t>
            </w:r>
          </w:p>
        </w:tc>
        <w:tc>
          <w:tcPr>
            <w:tcW w:w="1340" w:type="dxa"/>
            <w:vAlign w:val="bottom"/>
          </w:tcPr>
          <w:p>
            <w:pPr>
              <w:ind w:left="420"/>
              <w:spacing w:after="0"/>
              <w:rPr>
                <w:sz w:val="20"/>
                <w:szCs w:val="20"/>
                <w:color w:val="auto"/>
              </w:rPr>
            </w:pPr>
            <w:r>
              <w:rPr>
                <w:rFonts w:ascii="Arial" w:cs="Arial" w:eastAsia="Arial" w:hAnsi="Arial"/>
                <w:sz w:val="13"/>
                <w:szCs w:val="13"/>
                <w:color w:val="auto"/>
              </w:rPr>
              <w:t>$50,000</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13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$32,100</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20"/>
                <w:szCs w:val="20"/>
                <w:color w:val="auto"/>
              </w:rPr>
            </w:pPr>
            <w:r>
              <w:rPr>
                <w:rFonts w:ascii="Arial" w:cs="Arial" w:eastAsia="Arial" w:hAnsi="Arial"/>
                <w:sz w:val="13"/>
                <w:szCs w:val="13"/>
                <w:color w:val="auto"/>
              </w:rPr>
              <w:t>Susan J. DiCecco</w:t>
            </w:r>
          </w:p>
        </w:tc>
        <w:tc>
          <w:tcPr>
            <w:tcW w:w="1340" w:type="dxa"/>
            <w:vAlign w:val="bottom"/>
          </w:tcPr>
          <w:p>
            <w:pPr>
              <w:ind w:left="420"/>
              <w:spacing w:after="0"/>
              <w:rPr>
                <w:sz w:val="20"/>
                <w:szCs w:val="20"/>
                <w:color w:val="auto"/>
              </w:rPr>
            </w:pPr>
            <w:r>
              <w:rPr>
                <w:rFonts w:ascii="Arial" w:cs="Arial" w:eastAsia="Arial" w:hAnsi="Arial"/>
                <w:sz w:val="13"/>
                <w:szCs w:val="13"/>
                <w:color w:val="auto"/>
              </w:rPr>
              <w:t>$22,500</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$ 0</w:t>
            </w:r>
          </w:p>
        </w:tc>
        <w:tc>
          <w:tcPr>
            <w:tcW w:w="1180" w:type="dxa"/>
            <w:vAlign w:val="bottom"/>
            <w:gridSpan w:val="2"/>
          </w:tcPr>
          <w:p>
            <w:pPr>
              <w:jc w:val="right"/>
              <w:ind w:right="2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color w:val="auto"/>
        </w:rPr>
        <w:t xml:space="preserve">Overall payout results: </w:t>
      </w:r>
      <w:r>
        <w:rPr>
          <w:rFonts w:ascii="Arial" w:cs="Arial" w:eastAsia="Arial" w:hAnsi="Arial"/>
          <w:sz w:val="13"/>
          <w:szCs w:val="13"/>
          <w:color w:val="auto"/>
        </w:rPr>
        <w:t>In June 2011, the Compensation Committee (or, in the case of our chief executive officer, our Board) approved the following payouts under the fiscal 2010</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incentive plan: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200" w:type="dxa"/>
            <w:vAlign w:val="bottom"/>
          </w:tcPr>
          <w:p>
            <w:pPr>
              <w:ind w:left="360"/>
              <w:spacing w:after="0"/>
              <w:rPr>
                <w:sz w:val="20"/>
                <w:szCs w:val="20"/>
                <w:color w:val="auto"/>
              </w:rPr>
            </w:pPr>
            <w:r>
              <w:rPr>
                <w:rFonts w:ascii="Arial" w:cs="Arial" w:eastAsia="Arial" w:hAnsi="Arial"/>
                <w:sz w:val="10"/>
                <w:szCs w:val="10"/>
                <w:b w:val="1"/>
                <w:bCs w:val="1"/>
                <w:color w:val="auto"/>
              </w:rPr>
              <w:t>Fiscal 2010</w:t>
            </w:r>
          </w:p>
        </w:tc>
        <w:tc>
          <w:tcPr>
            <w:tcW w:w="280" w:type="dxa"/>
            <w:vAlign w:val="bottom"/>
          </w:tcPr>
          <w:p>
            <w:pPr>
              <w:spacing w:after="0"/>
              <w:rPr>
                <w:sz w:val="10"/>
                <w:szCs w:val="10"/>
                <w:color w:val="auto"/>
              </w:rPr>
            </w:pPr>
          </w:p>
        </w:tc>
        <w:tc>
          <w:tcPr>
            <w:tcW w:w="1120" w:type="dxa"/>
            <w:vAlign w:val="bottom"/>
            <w:gridSpan w:val="2"/>
          </w:tcPr>
          <w:p>
            <w:pPr>
              <w:ind w:left="320"/>
              <w:spacing w:after="0"/>
              <w:rPr>
                <w:sz w:val="20"/>
                <w:szCs w:val="20"/>
                <w:color w:val="auto"/>
              </w:rPr>
            </w:pPr>
            <w:r>
              <w:rPr>
                <w:rFonts w:ascii="Arial" w:cs="Arial" w:eastAsia="Arial" w:hAnsi="Arial"/>
                <w:sz w:val="10"/>
                <w:szCs w:val="10"/>
                <w:b w:val="1"/>
                <w:bCs w:val="1"/>
                <w:color w:val="auto"/>
              </w:rPr>
              <w:t>Fiscal 2010</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 of Target</w:t>
            </w:r>
          </w:p>
        </w:tc>
        <w:tc>
          <w:tcPr>
            <w:tcW w:w="0" w:type="dxa"/>
            <w:vAlign w:val="bottom"/>
          </w:tcPr>
          <w:p>
            <w:pPr>
              <w:spacing w:after="0"/>
              <w:rPr>
                <w:sz w:val="1"/>
                <w:szCs w:val="1"/>
                <w:color w:val="auto"/>
              </w:rPr>
            </w:pPr>
          </w:p>
        </w:tc>
      </w:tr>
      <w:tr>
        <w:trPr>
          <w:trHeight w:val="118"/>
        </w:trPr>
        <w:tc>
          <w:tcPr>
            <w:tcW w:w="62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200" w:type="dxa"/>
            <w:vAlign w:val="bottom"/>
          </w:tcPr>
          <w:p>
            <w:pPr>
              <w:ind w:left="320"/>
              <w:spacing w:after="0"/>
              <w:rPr>
                <w:sz w:val="20"/>
                <w:szCs w:val="20"/>
                <w:color w:val="auto"/>
              </w:rPr>
            </w:pPr>
            <w:r>
              <w:rPr>
                <w:rFonts w:ascii="Arial" w:cs="Arial" w:eastAsia="Arial" w:hAnsi="Arial"/>
                <w:sz w:val="10"/>
                <w:szCs w:val="10"/>
                <w:b w:val="1"/>
                <w:bCs w:val="1"/>
                <w:color w:val="auto"/>
              </w:rPr>
              <w:t>Target Cash</w:t>
            </w:r>
          </w:p>
        </w:tc>
        <w:tc>
          <w:tcPr>
            <w:tcW w:w="280" w:type="dxa"/>
            <w:vAlign w:val="bottom"/>
          </w:tcPr>
          <w:p>
            <w:pPr>
              <w:spacing w:after="0"/>
              <w:rPr>
                <w:sz w:val="10"/>
                <w:szCs w:val="10"/>
                <w:color w:val="auto"/>
              </w:rPr>
            </w:pPr>
          </w:p>
        </w:tc>
        <w:tc>
          <w:tcPr>
            <w:tcW w:w="1120" w:type="dxa"/>
            <w:vAlign w:val="bottom"/>
            <w:gridSpan w:val="2"/>
          </w:tcPr>
          <w:p>
            <w:pPr>
              <w:ind w:left="320"/>
              <w:spacing w:after="0"/>
              <w:rPr>
                <w:sz w:val="20"/>
                <w:szCs w:val="20"/>
                <w:color w:val="auto"/>
              </w:rPr>
            </w:pPr>
            <w:r>
              <w:rPr>
                <w:rFonts w:ascii="Arial" w:cs="Arial" w:eastAsia="Arial" w:hAnsi="Arial"/>
                <w:sz w:val="10"/>
                <w:szCs w:val="10"/>
                <w:b w:val="1"/>
                <w:bCs w:val="1"/>
                <w:color w:val="auto"/>
              </w:rPr>
              <w:t>Total Cash</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89"/>
              </w:rPr>
              <w:t>Bonus</w:t>
            </w:r>
          </w:p>
        </w:tc>
        <w:tc>
          <w:tcPr>
            <w:tcW w:w="0" w:type="dxa"/>
            <w:vAlign w:val="bottom"/>
          </w:tcPr>
          <w:p>
            <w:pPr>
              <w:spacing w:after="0"/>
              <w:rPr>
                <w:sz w:val="1"/>
                <w:szCs w:val="1"/>
                <w:color w:val="auto"/>
              </w:rPr>
            </w:pPr>
          </w:p>
        </w:tc>
      </w:tr>
      <w:tr>
        <w:trPr>
          <w:trHeight w:val="125"/>
        </w:trPr>
        <w:tc>
          <w:tcPr>
            <w:tcW w:w="6200" w:type="dxa"/>
            <w:vAlign w:val="bottom"/>
            <w:vMerge w:val="continue"/>
          </w:tcPr>
          <w:p>
            <w:pPr>
              <w:spacing w:after="0"/>
              <w:rPr>
                <w:sz w:val="10"/>
                <w:szCs w:val="10"/>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Bonus</w:t>
            </w:r>
          </w:p>
        </w:tc>
        <w:tc>
          <w:tcPr>
            <w:tcW w:w="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w w:val="95"/>
              </w:rPr>
              <w:t>Payout</w:t>
            </w:r>
          </w:p>
        </w:tc>
        <w:tc>
          <w:tcPr>
            <w:tcW w:w="2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Opportunity</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12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$450,000</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Daniel P. McGahn</w:t>
            </w:r>
          </w:p>
        </w:tc>
        <w:tc>
          <w:tcPr>
            <w:tcW w:w="1200" w:type="dxa"/>
            <w:vAlign w:val="bottom"/>
          </w:tcPr>
          <w:p>
            <w:pPr>
              <w:ind w:left="320"/>
              <w:spacing w:after="0"/>
              <w:rPr>
                <w:sz w:val="20"/>
                <w:szCs w:val="20"/>
                <w:color w:val="auto"/>
              </w:rPr>
            </w:pPr>
            <w:r>
              <w:rPr>
                <w:rFonts w:ascii="Arial" w:cs="Arial" w:eastAsia="Arial" w:hAnsi="Arial"/>
                <w:sz w:val="13"/>
                <w:szCs w:val="13"/>
                <w:color w:val="auto"/>
              </w:rPr>
              <w:t>$214,500</w:t>
            </w: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16"/>
              <w:spacing w:after="0"/>
              <w:rPr>
                <w:sz w:val="20"/>
                <w:szCs w:val="20"/>
                <w:color w:val="auto"/>
              </w:rPr>
            </w:pPr>
            <w:r>
              <w:rPr>
                <w:rFonts w:ascii="Arial" w:cs="Arial" w:eastAsia="Arial" w:hAnsi="Arial"/>
                <w:sz w:val="13"/>
                <w:szCs w:val="13"/>
                <w:color w:val="auto"/>
              </w:rPr>
              <w:t>4,976</w:t>
            </w:r>
          </w:p>
        </w:tc>
        <w:tc>
          <w:tcPr>
            <w:tcW w:w="1180" w:type="dxa"/>
            <w:vAlign w:val="bottom"/>
            <w:gridSpan w:val="2"/>
          </w:tcPr>
          <w:p>
            <w:pPr>
              <w:jc w:val="right"/>
              <w:ind w:right="20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David A. Henry</w:t>
            </w:r>
          </w:p>
        </w:tc>
        <w:tc>
          <w:tcPr>
            <w:tcW w:w="12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$147,500</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John R. Collett</w:t>
            </w:r>
          </w:p>
        </w:tc>
        <w:tc>
          <w:tcPr>
            <w:tcW w:w="1200" w:type="dxa"/>
            <w:vAlign w:val="bottom"/>
          </w:tcPr>
          <w:p>
            <w:pPr>
              <w:ind w:left="320"/>
              <w:spacing w:after="0"/>
              <w:rPr>
                <w:sz w:val="20"/>
                <w:szCs w:val="20"/>
                <w:color w:val="auto"/>
              </w:rPr>
            </w:pPr>
            <w:r>
              <w:rPr>
                <w:rFonts w:ascii="Arial" w:cs="Arial" w:eastAsia="Arial" w:hAnsi="Arial"/>
                <w:sz w:val="13"/>
                <w:szCs w:val="13"/>
                <w:color w:val="auto"/>
              </w:rPr>
              <w:t>$125,000</w:t>
            </w: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16"/>
              <w:spacing w:after="0"/>
              <w:rPr>
                <w:sz w:val="20"/>
                <w:szCs w:val="20"/>
                <w:color w:val="auto"/>
              </w:rPr>
            </w:pPr>
            <w:r>
              <w:rPr>
                <w:rFonts w:ascii="Arial" w:cs="Arial" w:eastAsia="Arial" w:hAnsi="Arial"/>
                <w:sz w:val="13"/>
                <w:szCs w:val="13"/>
                <w:color w:val="auto"/>
              </w:rPr>
              <w:t>0</w:t>
            </w:r>
          </w:p>
        </w:tc>
        <w:tc>
          <w:tcPr>
            <w:tcW w:w="1180" w:type="dxa"/>
            <w:vAlign w:val="bottom"/>
            <w:gridSpan w:val="2"/>
          </w:tcPr>
          <w:p>
            <w:pPr>
              <w:jc w:val="right"/>
              <w:ind w:right="20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12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$160,500</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Susan J. DiCecco</w:t>
            </w:r>
          </w:p>
        </w:tc>
        <w:tc>
          <w:tcPr>
            <w:tcW w:w="1200" w:type="dxa"/>
            <w:vAlign w:val="bottom"/>
          </w:tcPr>
          <w:p>
            <w:pPr>
              <w:ind w:left="320"/>
              <w:spacing w:after="0"/>
              <w:rPr>
                <w:sz w:val="20"/>
                <w:szCs w:val="20"/>
                <w:color w:val="auto"/>
              </w:rPr>
            </w:pPr>
            <w:r>
              <w:rPr>
                <w:rFonts w:ascii="Arial" w:cs="Arial" w:eastAsia="Arial" w:hAnsi="Arial"/>
                <w:sz w:val="13"/>
                <w:szCs w:val="13"/>
                <w:color w:val="auto"/>
              </w:rPr>
              <w:t>$112,500</w:t>
            </w: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16"/>
              <w:spacing w:after="0"/>
              <w:rPr>
                <w:sz w:val="20"/>
                <w:szCs w:val="20"/>
                <w:color w:val="auto"/>
              </w:rPr>
            </w:pPr>
            <w:r>
              <w:rPr>
                <w:rFonts w:ascii="Arial" w:cs="Arial" w:eastAsia="Arial" w:hAnsi="Arial"/>
                <w:sz w:val="13"/>
                <w:szCs w:val="13"/>
                <w:color w:val="auto"/>
                <w:w w:val="85"/>
              </w:rPr>
              <w:t>44,190</w:t>
            </w:r>
          </w:p>
        </w:tc>
        <w:tc>
          <w:tcPr>
            <w:tcW w:w="1180" w:type="dxa"/>
            <w:vAlign w:val="bottom"/>
            <w:gridSpan w:val="2"/>
          </w:tcPr>
          <w:p>
            <w:pPr>
              <w:jc w:val="right"/>
              <w:ind w:right="208"/>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 Term Equity Incentives.</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The Compensation Committee uses stock-based awards to retain executive officers and align their interests with those of our stockholders. Historically, the Compensation Committee granted stock-based awards to our executive officers purely in the form of stock options that vested in installments over multiple years, with an exercise price equal to the closing market price of our common stock on the date of grant. Recent changes in the accounting treatment for stock options have made stock option grants a less attractive form of compensation for companies. While we continue to use stock options as a form of incentive for employees and executive officers, the Compensation Committee has increasingly relied on the award of shares of restricted stock to our executive officers. The Compensation Committee awards both time-based and performance-based restricted stock awards. A time-based restricted stock award typically will vest in equal annual installments over a three-year period. A performance-based restricted stock award typically will vest upon the achievement of specific objectives relating to our performance within a specified period. The Compensation Committee believes shares of restricted stock provide an equally motivating form of incentive compensation, minimize stock compensation expenses and reduce the potential dilution of our shares.</w:t>
      </w: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generally grant options and shares of restricted stock to executive officers and other employees upon their initial hire, in connection with a promotion, and annually based on merit. To determine the amount of stock-based awards granted to executive officers, our Compensation Committee considers the performance of the individual and our company, historic stock-based awards and the awards made to those in similar positions at comparable companies.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Board and Compensation Committee typically meet in early May to review company performance for the prior fiscal year. At such time, the Compensation Committee (or, in the case of our chief executive officer, our Board) also reviews the performance of the executive officers over the prior fiscal year and grants restricted stock or stock options to the executive officers.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May 2010, when considering equity grants, the Compensation Committee (or, in the case of our chief executive officer, our Board) considered:</w:t>
      </w:r>
    </w:p>
    <w:p>
      <w:pPr>
        <w:spacing w:after="0" w:line="96" w:lineRule="exact"/>
        <w:rPr>
          <w:sz w:val="20"/>
          <w:szCs w:val="20"/>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executive officer’s performance and contribution during the prior fiscal year;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recommendations made by our management;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competitive practices;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overall compensation package for each executive officer.</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Based on such considerations, the Compensation Committee (or, in the case of our chief executive officer, our Board) granted time-based restricted stock awards and stock options. Messrs. Yurek, Henry, Collett and Stankiewicz and Ms. DiCecco received time-based restricted stock awards for 21,000 shares, 9,000 shares, 10,800 shares, 6,000 shares and 5,400 shares, respectively, with each award vesting in equal annual installments over a three-year period. Messrs. Yurek, Henry, Collett and Stankiewicz and Ms. DiCecco also received option grants for 36,000, 15,000, 18,000, 10,000 and 9,000 shares, respectively, with each grant becoming exercisable in equal annual installments over a three-year period. Mr. McGahn had received a performance-based restricted stock award of 25,000 shares and an option grant for 100,000 shares which becomes exercisable on the fifth anniversary of the grant date in connection with his promotion to President and Chief Operating Officer in December 2009, so he did not receive any additional restricted stock awards or option grants in May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Benefits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offer a comprehensive benefits package to all full-time employees, including health and dental insurance, life and disability insurance and a 401(k) plan. Executive officers are eligible to participate in all of our employee benefit plans. The 401(k) plan includes a matching component where we will match $0.50 on the dollar of an employee’s contribution up to a maximum of 6 percent of their wages in the form of our stock. The employee contributions are subject to the maximum limitations as set forth in the Internal Revenue Code of 1986, as amended.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Severance and Change-in-Control Benefits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We have entered into agreements with each of our executive officers that provide them with severance benefits in the event of the termination of their employment under specified circumstances, including termination following a change in control of our company. In addition, the stock options and restricted stock awards we grant to our executive officers provide for full acceleration of vesting upon a change in control of our company. These agreements, along with estimates of the value of the benefits payable under them, are described below under the caption “Employment Agreements and Severance Agreements with Executive Officers.” We believe providing these benefits helps us compete for and retain executive talent and that our severance and change-in-control benefits are generally in line with those provided to executives by comparable companies.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Considerations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Internal Revenue Service, pursuant to Section 162(m) of the Internal Revenue Code of 1986, as amended, generally disallows a tax deduction for compensation in excess of $1,000,000 paid to our chief executive officer and to certain other officers (other than our chief financial officer). Certain compensation, including qualified performance-based compensation, will not be subject to the deduction limit if certain requirements are met.</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We generally structure our stock option awards to comply with exemptions in Section 162(m) so that the compensation remains tax deductible to us. We periodically review the potential consequences of Section 162(m) on the other components of our executive compensation program. We will structure arrangements to comply with the Section 162(m) exceptions where we believe it to be feasible. However, the Compensation Committee may, in its judgment, authorize compensation payments that do not comply with the exemptions in Section 162(m) when it believes that such payments are appropriate to attract and retain executive talent.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following table contains information with respect to the compensation for fiscal 2010 of our former principal executive officer, our principal financial officer and our three other most highly compensated executive officers who were serving as executive officers on March 31, 2011. The following table also includes Mr. McGahn, whose compensation is not required to be disclosed under SEC rules, but is being included because he was named our principal executive officer effective June 1, 2011 and we believe it is important to include him.</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ind w:left="360"/>
              <w:spacing w:after="0"/>
              <w:rPr>
                <w:sz w:val="20"/>
                <w:szCs w:val="20"/>
                <w:color w:val="auto"/>
              </w:rPr>
            </w:pPr>
            <w:r>
              <w:rPr>
                <w:rFonts w:ascii="Arial" w:cs="Arial" w:eastAsia="Arial" w:hAnsi="Arial"/>
                <w:sz w:val="9"/>
                <w:szCs w:val="9"/>
                <w:b w:val="1"/>
                <w:bCs w:val="1"/>
                <w:color w:val="auto"/>
              </w:rPr>
              <w:t>Non-Equity</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8"/>
        </w:trPr>
        <w:tc>
          <w:tcPr>
            <w:tcW w:w="2560" w:type="dxa"/>
            <w:vAlign w:val="bottom"/>
          </w:tcPr>
          <w:p>
            <w:pPr>
              <w:spacing w:after="0" w:line="98"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4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Fiscal</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288"/>
              <w:spacing w:after="0" w:line="98" w:lineRule="exact"/>
              <w:rPr>
                <w:sz w:val="20"/>
                <w:szCs w:val="20"/>
                <w:color w:val="auto"/>
              </w:rPr>
            </w:pPr>
            <w:r>
              <w:rPr>
                <w:rFonts w:ascii="Arial" w:cs="Arial" w:eastAsia="Arial" w:hAnsi="Arial"/>
                <w:sz w:val="9"/>
                <w:szCs w:val="9"/>
                <w:b w:val="1"/>
                <w:bCs w:val="1"/>
                <w:color w:val="auto"/>
              </w:rPr>
              <w:t>Stock</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248"/>
              <w:spacing w:after="0" w:line="98"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1200" w:type="dxa"/>
            <w:vAlign w:val="bottom"/>
            <w:gridSpan w:val="2"/>
          </w:tcPr>
          <w:p>
            <w:pPr>
              <w:jc w:val="right"/>
              <w:ind w:right="268"/>
              <w:spacing w:after="0" w:line="98" w:lineRule="exact"/>
              <w:rPr>
                <w:sz w:val="20"/>
                <w:szCs w:val="20"/>
                <w:color w:val="auto"/>
              </w:rPr>
            </w:pPr>
            <w:r>
              <w:rPr>
                <w:rFonts w:ascii="Arial" w:cs="Arial" w:eastAsia="Arial" w:hAnsi="Arial"/>
                <w:sz w:val="9"/>
                <w:szCs w:val="9"/>
                <w:b w:val="1"/>
                <w:bCs w:val="1"/>
                <w:color w:val="auto"/>
              </w:rPr>
              <w:t>Incentive Plan</w:t>
            </w:r>
          </w:p>
        </w:tc>
        <w:tc>
          <w:tcPr>
            <w:tcW w:w="80" w:type="dxa"/>
            <w:vAlign w:val="bottom"/>
          </w:tcPr>
          <w:p>
            <w:pPr>
              <w:spacing w:after="0"/>
              <w:rPr>
                <w:sz w:val="8"/>
                <w:szCs w:val="8"/>
                <w:color w:val="auto"/>
              </w:rPr>
            </w:pPr>
          </w:p>
        </w:tc>
        <w:tc>
          <w:tcPr>
            <w:tcW w:w="1160" w:type="dxa"/>
            <w:vAlign w:val="bottom"/>
            <w:gridSpan w:val="2"/>
          </w:tcPr>
          <w:p>
            <w:pPr>
              <w:ind w:left="400"/>
              <w:spacing w:after="0" w:line="98" w:lineRule="exact"/>
              <w:rPr>
                <w:sz w:val="20"/>
                <w:szCs w:val="20"/>
                <w:color w:val="auto"/>
              </w:rPr>
            </w:pPr>
            <w:r>
              <w:rPr>
                <w:rFonts w:ascii="Arial" w:cs="Arial" w:eastAsia="Arial" w:hAnsi="Arial"/>
                <w:sz w:val="9"/>
                <w:szCs w:val="9"/>
                <w:b w:val="1"/>
                <w:bCs w:val="1"/>
                <w:color w:val="auto"/>
              </w:rPr>
              <w:t>All Other</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21"/>
        </w:trPr>
        <w:tc>
          <w:tcPr>
            <w:tcW w:w="2560" w:type="dxa"/>
            <w:vAlign w:val="bottom"/>
          </w:tcPr>
          <w:p>
            <w:pPr>
              <w:spacing w:after="0"/>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Year(1)</w:t>
            </w:r>
          </w:p>
        </w:tc>
        <w:tc>
          <w:tcPr>
            <w:tcW w:w="80" w:type="dxa"/>
            <w:vAlign w:val="bottom"/>
          </w:tcPr>
          <w:p>
            <w:pPr>
              <w:spacing w:after="0"/>
              <w:rPr>
                <w:sz w:val="10"/>
                <w:szCs w:val="10"/>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9"/>
                <w:szCs w:val="9"/>
                <w:b w:val="1"/>
                <w:bCs w:val="1"/>
                <w:color w:val="auto"/>
              </w:rPr>
              <w:t>Salary</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9"/>
                <w:szCs w:val="9"/>
                <w:b w:val="1"/>
                <w:bCs w:val="1"/>
                <w:color w:val="auto"/>
                <w:w w:val="92"/>
              </w:rPr>
              <w:t>Bonus</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w w:val="87"/>
              </w:rPr>
              <w:t>Awards(2)</w:t>
            </w: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w w:val="87"/>
              </w:rPr>
              <w:t>Awards(2)</w:t>
            </w:r>
          </w:p>
        </w:tc>
        <w:tc>
          <w:tcPr>
            <w:tcW w:w="80" w:type="dxa"/>
            <w:vAlign w:val="bottom"/>
          </w:tcPr>
          <w:p>
            <w:pPr>
              <w:spacing w:after="0"/>
              <w:rPr>
                <w:sz w:val="10"/>
                <w:szCs w:val="10"/>
                <w:color w:val="auto"/>
              </w:rPr>
            </w:pPr>
          </w:p>
        </w:tc>
        <w:tc>
          <w:tcPr>
            <w:tcW w:w="12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9"/>
                <w:szCs w:val="9"/>
                <w:b w:val="1"/>
                <w:bCs w:val="1"/>
                <w:color w:val="auto"/>
              </w:rPr>
              <w:t>Compensation(3)</w:t>
            </w:r>
          </w:p>
        </w:tc>
        <w:tc>
          <w:tcPr>
            <w:tcW w:w="80" w:type="dxa"/>
            <w:vAlign w:val="bottom"/>
          </w:tcPr>
          <w:p>
            <w:pPr>
              <w:spacing w:after="0"/>
              <w:rPr>
                <w:sz w:val="10"/>
                <w:szCs w:val="10"/>
                <w:color w:val="auto"/>
              </w:rPr>
            </w:pPr>
          </w:p>
        </w:tc>
        <w:tc>
          <w:tcPr>
            <w:tcW w:w="11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9"/>
                <w:szCs w:val="9"/>
                <w:b w:val="1"/>
                <w:bCs w:val="1"/>
                <w:color w:val="auto"/>
              </w:rPr>
              <w:t>Compensation(4)</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9"/>
                <w:szCs w:val="9"/>
                <w:b w:val="1"/>
                <w:bCs w:val="1"/>
                <w:color w:val="auto"/>
              </w:rPr>
              <w:t>Total</w:t>
            </w:r>
          </w:p>
        </w:tc>
      </w:tr>
      <w:tr>
        <w:trPr>
          <w:trHeight w:val="29"/>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95"/>
        </w:trPr>
        <w:tc>
          <w:tcPr>
            <w:tcW w:w="25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Gregory J. Yurek</w:t>
            </w:r>
          </w:p>
        </w:tc>
        <w:tc>
          <w:tcPr>
            <w:tcW w:w="480" w:type="dxa"/>
            <w:vAlign w:val="bottom"/>
            <w:gridSpan w:val="2"/>
            <w:shd w:val="clear" w:color="auto" w:fill="CCEEFF"/>
          </w:tcPr>
          <w:p>
            <w:pPr>
              <w:jc w:val="center"/>
              <w:ind w:left="28"/>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shd w:val="clear" w:color="auto" w:fill="CCEEFF"/>
          </w:tcPr>
          <w:p>
            <w:pPr>
              <w:jc w:val="right"/>
              <w:ind w:right="114"/>
              <w:spacing w:after="0" w:line="95" w:lineRule="exact"/>
              <w:rPr>
                <w:sz w:val="20"/>
                <w:szCs w:val="20"/>
                <w:color w:val="auto"/>
              </w:rPr>
            </w:pPr>
            <w:r>
              <w:rPr>
                <w:rFonts w:ascii="Arial" w:cs="Arial" w:eastAsia="Arial" w:hAnsi="Arial"/>
                <w:sz w:val="10"/>
                <w:szCs w:val="10"/>
                <w:color w:val="auto"/>
              </w:rPr>
              <w:t>$600,000</w:t>
            </w:r>
          </w:p>
        </w:tc>
        <w:tc>
          <w:tcPr>
            <w:tcW w:w="24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614,040</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657,713</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9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95" w:lineRule="exact"/>
              <w:rPr>
                <w:sz w:val="20"/>
                <w:szCs w:val="20"/>
                <w:color w:val="auto"/>
              </w:rPr>
            </w:pPr>
            <w:r>
              <w:rPr>
                <w:rFonts w:ascii="Arial" w:cs="Arial" w:eastAsia="Arial" w:hAnsi="Arial"/>
                <w:sz w:val="10"/>
                <w:szCs w:val="10"/>
                <w:color w:val="auto"/>
                <w:w w:val="84"/>
              </w:rPr>
              <w:t>14,106</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w w:val="89"/>
              </w:rPr>
              <w:t>1,885,859</w:t>
            </w:r>
          </w:p>
        </w:tc>
      </w:tr>
      <w:tr>
        <w:trPr>
          <w:trHeight w:val="108"/>
        </w:trPr>
        <w:tc>
          <w:tcPr>
            <w:tcW w:w="25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i w:val="1"/>
                <w:iCs w:val="1"/>
                <w:color w:val="auto"/>
              </w:rPr>
              <w:t>Former Chairman and Chief</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89"/>
              </w:rPr>
              <w:t>2009</w:t>
            </w:r>
          </w:p>
        </w:tc>
        <w:tc>
          <w:tcPr>
            <w:tcW w:w="74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$600,000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303,480</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768,070</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108" w:lineRule="exact"/>
              <w:rPr>
                <w:sz w:val="20"/>
                <w:szCs w:val="20"/>
                <w:color w:val="auto"/>
              </w:rPr>
            </w:pPr>
            <w:r>
              <w:rPr>
                <w:rFonts w:ascii="Arial" w:cs="Arial" w:eastAsia="Arial" w:hAnsi="Arial"/>
                <w:sz w:val="10"/>
                <w:szCs w:val="10"/>
                <w:color w:val="auto"/>
                <w:w w:val="93"/>
              </w:rPr>
              <w:t>561,600</w:t>
            </w:r>
          </w:p>
        </w:tc>
        <w:tc>
          <w:tcPr>
            <w:tcW w:w="520" w:type="dxa"/>
            <w:vAlign w:val="bottom"/>
            <w:gridSpan w:val="2"/>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108" w:lineRule="exact"/>
              <w:rPr>
                <w:sz w:val="20"/>
                <w:szCs w:val="20"/>
                <w:color w:val="auto"/>
              </w:rPr>
            </w:pPr>
            <w:r>
              <w:rPr>
                <w:rFonts w:ascii="Arial" w:cs="Arial" w:eastAsia="Arial" w:hAnsi="Arial"/>
                <w:sz w:val="10"/>
                <w:szCs w:val="10"/>
                <w:color w:val="auto"/>
              </w:rPr>
              <w:t>9,704</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w w:val="89"/>
              </w:rPr>
              <w:t>2,242,854</w:t>
            </w:r>
          </w:p>
        </w:tc>
      </w:tr>
      <w:tr>
        <w:trPr>
          <w:trHeight w:val="121"/>
        </w:trPr>
        <w:tc>
          <w:tcPr>
            <w:tcW w:w="2560" w:type="dxa"/>
            <w:vAlign w:val="bottom"/>
            <w:shd w:val="clear" w:color="auto" w:fill="CCEEFF"/>
          </w:tcPr>
          <w:p>
            <w:pPr>
              <w:ind w:left="120"/>
              <w:spacing w:after="0"/>
              <w:rPr>
                <w:sz w:val="20"/>
                <w:szCs w:val="20"/>
                <w:color w:val="auto"/>
              </w:rPr>
            </w:pPr>
            <w:r>
              <w:rPr>
                <w:rFonts w:ascii="Arial" w:cs="Arial" w:eastAsia="Arial" w:hAnsi="Arial"/>
                <w:sz w:val="10"/>
                <w:szCs w:val="10"/>
                <w:i w:val="1"/>
                <w:iCs w:val="1"/>
                <w:color w:val="auto"/>
              </w:rPr>
              <w:t>Executive Officer(5)</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2008</w:t>
            </w:r>
          </w:p>
        </w:tc>
        <w:tc>
          <w:tcPr>
            <w:tcW w:w="740" w:type="dxa"/>
            <w:vAlign w:val="bottom"/>
            <w:gridSpan w:val="2"/>
            <w:shd w:val="clear" w:color="auto" w:fill="CCEEFF"/>
          </w:tcPr>
          <w:p>
            <w:pPr>
              <w:jc w:val="right"/>
              <w:ind w:right="114"/>
              <w:spacing w:after="0"/>
              <w:rPr>
                <w:sz w:val="20"/>
                <w:szCs w:val="20"/>
                <w:color w:val="auto"/>
              </w:rPr>
            </w:pPr>
            <w:r>
              <w:rPr>
                <w:rFonts w:ascii="Arial" w:cs="Arial" w:eastAsia="Arial" w:hAnsi="Arial"/>
                <w:sz w:val="10"/>
                <w:szCs w:val="10"/>
                <w:color w:val="auto"/>
              </w:rPr>
              <w:t>$575,000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88"/>
              </w:rPr>
              <w:t>33,091(6)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89"/>
              </w:rPr>
              <w:t>1,767,600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93"/>
              </w:rPr>
              <w:t>495,003</w:t>
            </w:r>
          </w:p>
        </w:tc>
        <w:tc>
          <w:tcPr>
            <w:tcW w:w="52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7,272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89"/>
              </w:rPr>
              <w:t>2,877,966</w:t>
            </w:r>
          </w:p>
        </w:tc>
      </w:tr>
      <w:tr>
        <w:trPr>
          <w:trHeight w:val="95"/>
        </w:trPr>
        <w:tc>
          <w:tcPr>
            <w:tcW w:w="2560" w:type="dxa"/>
            <w:vAlign w:val="bottom"/>
          </w:tcPr>
          <w:p>
            <w:pPr>
              <w:spacing w:after="0" w:line="95" w:lineRule="exact"/>
              <w:rPr>
                <w:sz w:val="20"/>
                <w:szCs w:val="20"/>
                <w:color w:val="auto"/>
              </w:rPr>
            </w:pPr>
            <w:r>
              <w:rPr>
                <w:rFonts w:ascii="Arial" w:cs="Arial" w:eastAsia="Arial" w:hAnsi="Arial"/>
                <w:sz w:val="10"/>
                <w:szCs w:val="10"/>
                <w:color w:val="auto"/>
              </w:rPr>
              <w:t>Daniel P. McGahn</w:t>
            </w:r>
          </w:p>
        </w:tc>
        <w:tc>
          <w:tcPr>
            <w:tcW w:w="80" w:type="dxa"/>
            <w:vAlign w:val="bottom"/>
          </w:tcPr>
          <w:p>
            <w:pPr>
              <w:spacing w:after="0"/>
              <w:rPr>
                <w:sz w:val="8"/>
                <w:szCs w:val="8"/>
                <w:color w:val="auto"/>
              </w:rPr>
            </w:pPr>
          </w:p>
        </w:tc>
        <w:tc>
          <w:tcPr>
            <w:tcW w:w="400" w:type="dxa"/>
            <w:vAlign w:val="bottom"/>
          </w:tcPr>
          <w:p>
            <w:pPr>
              <w:jc w:val="center"/>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tcPr>
          <w:p>
            <w:pPr>
              <w:jc w:val="right"/>
              <w:ind w:right="114"/>
              <w:spacing w:after="0" w:line="95" w:lineRule="exact"/>
              <w:rPr>
                <w:sz w:val="20"/>
                <w:szCs w:val="20"/>
                <w:color w:val="auto"/>
              </w:rPr>
            </w:pPr>
            <w:r>
              <w:rPr>
                <w:rFonts w:ascii="Arial" w:cs="Arial" w:eastAsia="Arial" w:hAnsi="Arial"/>
                <w:sz w:val="10"/>
                <w:szCs w:val="10"/>
                <w:color w:val="auto"/>
              </w:rPr>
              <w:t>$330,000</w:t>
            </w:r>
          </w:p>
        </w:tc>
        <w:tc>
          <w:tcPr>
            <w:tcW w:w="240" w:type="dxa"/>
            <w:vAlign w:val="bottom"/>
            <w:gridSpan w:val="2"/>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line="95" w:lineRule="exact"/>
              <w:rPr>
                <w:sz w:val="20"/>
                <w:szCs w:val="20"/>
                <w:color w:val="auto"/>
              </w:rPr>
            </w:pPr>
            <w:r>
              <w:rPr>
                <w:rFonts w:ascii="Arial" w:cs="Arial" w:eastAsia="Arial" w:hAnsi="Arial"/>
                <w:sz w:val="10"/>
                <w:szCs w:val="10"/>
                <w:color w:val="auto"/>
              </w:rPr>
              <w:t>4,976</w:t>
            </w:r>
          </w:p>
        </w:tc>
        <w:tc>
          <w:tcPr>
            <w:tcW w:w="520" w:type="dxa"/>
            <w:vAlign w:val="bottom"/>
            <w:gridSpan w:val="2"/>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line="95" w:lineRule="exact"/>
              <w:rPr>
                <w:sz w:val="20"/>
                <w:szCs w:val="20"/>
                <w:color w:val="auto"/>
              </w:rPr>
            </w:pPr>
            <w:r>
              <w:rPr>
                <w:rFonts w:ascii="Arial" w:cs="Arial" w:eastAsia="Arial" w:hAnsi="Arial"/>
                <w:sz w:val="10"/>
                <w:szCs w:val="10"/>
                <w:color w:val="auto"/>
              </w:rPr>
              <w:t>9,304</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344,280</w:t>
            </w:r>
          </w:p>
        </w:tc>
      </w:tr>
      <w:tr>
        <w:trPr>
          <w:trHeight w:val="108"/>
        </w:trPr>
        <w:tc>
          <w:tcPr>
            <w:tcW w:w="2560" w:type="dxa"/>
            <w:vAlign w:val="bottom"/>
          </w:tcPr>
          <w:p>
            <w:pPr>
              <w:ind w:left="120"/>
              <w:spacing w:after="0" w:line="108" w:lineRule="exact"/>
              <w:rPr>
                <w:sz w:val="20"/>
                <w:szCs w:val="20"/>
                <w:color w:val="auto"/>
              </w:rPr>
            </w:pPr>
            <w:r>
              <w:rPr>
                <w:rFonts w:ascii="Arial" w:cs="Arial" w:eastAsia="Arial" w:hAnsi="Arial"/>
                <w:sz w:val="10"/>
                <w:szCs w:val="10"/>
                <w:i w:val="1"/>
                <w:iCs w:val="1"/>
                <w:color w:val="auto"/>
              </w:rPr>
              <w:t>President and Chief</w:t>
            </w:r>
          </w:p>
        </w:tc>
        <w:tc>
          <w:tcPr>
            <w:tcW w:w="480" w:type="dxa"/>
            <w:vAlign w:val="bottom"/>
            <w:gridSpan w:val="2"/>
          </w:tcPr>
          <w:p>
            <w:pPr>
              <w:jc w:val="center"/>
              <w:ind w:left="28"/>
              <w:spacing w:after="0" w:line="108" w:lineRule="exact"/>
              <w:rPr>
                <w:sz w:val="20"/>
                <w:szCs w:val="20"/>
                <w:color w:val="auto"/>
              </w:rPr>
            </w:pPr>
            <w:r>
              <w:rPr>
                <w:rFonts w:ascii="Arial" w:cs="Arial" w:eastAsia="Arial" w:hAnsi="Arial"/>
                <w:sz w:val="10"/>
                <w:szCs w:val="10"/>
                <w:color w:val="auto"/>
                <w:w w:val="89"/>
              </w:rPr>
              <w:t>2009</w:t>
            </w:r>
          </w:p>
        </w:tc>
        <w:tc>
          <w:tcPr>
            <w:tcW w:w="74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$281,288</w:t>
            </w:r>
          </w:p>
        </w:tc>
        <w:tc>
          <w:tcPr>
            <w:tcW w:w="2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w w:val="89"/>
              </w:rPr>
              <w:t>1,118,990</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w w:val="89"/>
              </w:rPr>
              <w:t>2,545,559</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line="108" w:lineRule="exact"/>
              <w:rPr>
                <w:sz w:val="20"/>
                <w:szCs w:val="20"/>
                <w:color w:val="auto"/>
              </w:rPr>
            </w:pPr>
            <w:r>
              <w:rPr>
                <w:rFonts w:ascii="Arial" w:cs="Arial" w:eastAsia="Arial" w:hAnsi="Arial"/>
                <w:sz w:val="10"/>
                <w:szCs w:val="10"/>
                <w:color w:val="auto"/>
                <w:w w:val="93"/>
              </w:rPr>
              <w:t>161,520</w:t>
            </w:r>
          </w:p>
        </w:tc>
        <w:tc>
          <w:tcPr>
            <w:tcW w:w="520" w:type="dxa"/>
            <w:vAlign w:val="bottom"/>
            <w:gridSpan w:val="2"/>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line="108" w:lineRule="exact"/>
              <w:rPr>
                <w:sz w:val="20"/>
                <w:szCs w:val="20"/>
                <w:color w:val="auto"/>
              </w:rPr>
            </w:pPr>
            <w:r>
              <w:rPr>
                <w:rFonts w:ascii="Arial" w:cs="Arial" w:eastAsia="Arial" w:hAnsi="Arial"/>
                <w:sz w:val="10"/>
                <w:szCs w:val="10"/>
                <w:color w:val="auto"/>
              </w:rPr>
              <w:t>8,955</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w w:val="89"/>
              </w:rPr>
              <w:t>4,116,312</w:t>
            </w:r>
          </w:p>
        </w:tc>
      </w:tr>
      <w:tr>
        <w:trPr>
          <w:trHeight w:val="121"/>
        </w:trPr>
        <w:tc>
          <w:tcPr>
            <w:tcW w:w="2560" w:type="dxa"/>
            <w:vAlign w:val="bottom"/>
          </w:tcPr>
          <w:p>
            <w:pPr>
              <w:ind w:left="120"/>
              <w:spacing w:after="0"/>
              <w:rPr>
                <w:sz w:val="20"/>
                <w:szCs w:val="20"/>
                <w:color w:val="auto"/>
              </w:rPr>
            </w:pPr>
            <w:r>
              <w:rPr>
                <w:rFonts w:ascii="Arial" w:cs="Arial" w:eastAsia="Arial" w:hAnsi="Arial"/>
                <w:sz w:val="10"/>
                <w:szCs w:val="10"/>
                <w:i w:val="1"/>
                <w:iCs w:val="1"/>
                <w:color w:val="auto"/>
              </w:rPr>
              <w:t>Executive Officer</w:t>
            </w:r>
          </w:p>
        </w:tc>
        <w:tc>
          <w:tcPr>
            <w:tcW w:w="480" w:type="dxa"/>
            <w:vAlign w:val="bottom"/>
            <w:gridSpan w:val="2"/>
          </w:tcPr>
          <w:p>
            <w:pPr>
              <w:jc w:val="center"/>
              <w:ind w:left="28"/>
              <w:spacing w:after="0"/>
              <w:rPr>
                <w:sz w:val="20"/>
                <w:szCs w:val="20"/>
                <w:color w:val="auto"/>
              </w:rPr>
            </w:pPr>
            <w:r>
              <w:rPr>
                <w:rFonts w:ascii="Arial" w:cs="Arial" w:eastAsia="Arial" w:hAnsi="Arial"/>
                <w:sz w:val="10"/>
                <w:szCs w:val="10"/>
                <w:color w:val="auto"/>
                <w:w w:val="89"/>
              </w:rPr>
              <w:t>2008</w:t>
            </w:r>
          </w:p>
        </w:tc>
        <w:tc>
          <w:tcPr>
            <w:tcW w:w="740" w:type="dxa"/>
            <w:vAlign w:val="bottom"/>
            <w:gridSpan w:val="2"/>
          </w:tcPr>
          <w:p>
            <w:pPr>
              <w:jc w:val="right"/>
              <w:ind w:right="114"/>
              <w:spacing w:after="0"/>
              <w:rPr>
                <w:sz w:val="20"/>
                <w:szCs w:val="20"/>
                <w:color w:val="auto"/>
              </w:rPr>
            </w:pPr>
            <w:r>
              <w:rPr>
                <w:rFonts w:ascii="Arial" w:cs="Arial" w:eastAsia="Arial" w:hAnsi="Arial"/>
                <w:sz w:val="10"/>
                <w:szCs w:val="10"/>
                <w:color w:val="auto"/>
              </w:rPr>
              <w:t>$245,000</w:t>
            </w:r>
          </w:p>
        </w:tc>
        <w:tc>
          <w:tcPr>
            <w:tcW w:w="2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28"/>
              <w:spacing w:after="0"/>
              <w:rPr>
                <w:sz w:val="20"/>
                <w:szCs w:val="20"/>
                <w:color w:val="auto"/>
              </w:rPr>
            </w:pPr>
            <w:r>
              <w:rPr>
                <w:rFonts w:ascii="Arial" w:cs="Arial" w:eastAsia="Arial" w:hAnsi="Arial"/>
                <w:sz w:val="10"/>
                <w:szCs w:val="10"/>
                <w:color w:val="auto"/>
                <w:w w:val="88"/>
              </w:rPr>
              <w:t>10,000(7)</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rPr>
                <w:sz w:val="20"/>
                <w:szCs w:val="20"/>
                <w:color w:val="auto"/>
              </w:rPr>
            </w:pPr>
            <w:r>
              <w:rPr>
                <w:rFonts w:ascii="Arial" w:cs="Arial" w:eastAsia="Arial" w:hAnsi="Arial"/>
                <w:sz w:val="10"/>
                <w:szCs w:val="10"/>
                <w:color w:val="auto"/>
                <w:w w:val="89"/>
              </w:rPr>
              <w:t>1,031,100</w:t>
            </w: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rPr>
                <w:sz w:val="20"/>
                <w:szCs w:val="20"/>
                <w:color w:val="auto"/>
              </w:rPr>
            </w:pPr>
            <w:r>
              <w:rPr>
                <w:rFonts w:ascii="Arial" w:cs="Arial" w:eastAsia="Arial" w:hAnsi="Arial"/>
                <w:sz w:val="10"/>
                <w:szCs w:val="10"/>
                <w:color w:val="auto"/>
                <w:w w:val="93"/>
              </w:rPr>
              <w:t>154,786</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rPr>
                <w:sz w:val="20"/>
                <w:szCs w:val="20"/>
                <w:color w:val="auto"/>
              </w:rPr>
            </w:pPr>
            <w:r>
              <w:rPr>
                <w:rFonts w:ascii="Arial" w:cs="Arial" w:eastAsia="Arial" w:hAnsi="Arial"/>
                <w:sz w:val="10"/>
                <w:szCs w:val="10"/>
                <w:color w:val="auto"/>
              </w:rPr>
              <w:t>9,154</w:t>
            </w: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rPr>
                <w:sz w:val="20"/>
                <w:szCs w:val="20"/>
                <w:color w:val="auto"/>
              </w:rPr>
            </w:pPr>
            <w:r>
              <w:rPr>
                <w:rFonts w:ascii="Arial" w:cs="Arial" w:eastAsia="Arial" w:hAnsi="Arial"/>
                <w:sz w:val="10"/>
                <w:szCs w:val="10"/>
                <w:color w:val="auto"/>
                <w:w w:val="89"/>
              </w:rPr>
              <w:t>1,450,040</w:t>
            </w:r>
          </w:p>
        </w:tc>
      </w:tr>
      <w:tr>
        <w:trPr>
          <w:trHeight w:val="95"/>
        </w:trPr>
        <w:tc>
          <w:tcPr>
            <w:tcW w:w="25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David A. Henry</w:t>
            </w:r>
          </w:p>
        </w:tc>
        <w:tc>
          <w:tcPr>
            <w:tcW w:w="480" w:type="dxa"/>
            <w:vAlign w:val="bottom"/>
            <w:gridSpan w:val="2"/>
            <w:shd w:val="clear" w:color="auto" w:fill="CCEEFF"/>
          </w:tcPr>
          <w:p>
            <w:pPr>
              <w:jc w:val="center"/>
              <w:ind w:left="28"/>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shd w:val="clear" w:color="auto" w:fill="CCEEFF"/>
          </w:tcPr>
          <w:p>
            <w:pPr>
              <w:jc w:val="right"/>
              <w:ind w:right="114"/>
              <w:spacing w:after="0" w:line="95" w:lineRule="exact"/>
              <w:rPr>
                <w:sz w:val="20"/>
                <w:szCs w:val="20"/>
                <w:color w:val="auto"/>
              </w:rPr>
            </w:pPr>
            <w:r>
              <w:rPr>
                <w:rFonts w:ascii="Arial" w:cs="Arial" w:eastAsia="Arial" w:hAnsi="Arial"/>
                <w:sz w:val="10"/>
                <w:szCs w:val="10"/>
                <w:color w:val="auto"/>
              </w:rPr>
              <w:t>$295,000</w:t>
            </w:r>
          </w:p>
        </w:tc>
        <w:tc>
          <w:tcPr>
            <w:tcW w:w="24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263,160</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274,047</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9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95" w:lineRule="exact"/>
              <w:rPr>
                <w:sz w:val="20"/>
                <w:szCs w:val="20"/>
                <w:color w:val="auto"/>
              </w:rPr>
            </w:pPr>
            <w:r>
              <w:rPr>
                <w:rFonts w:ascii="Arial" w:cs="Arial" w:eastAsia="Arial" w:hAnsi="Arial"/>
                <w:sz w:val="10"/>
                <w:szCs w:val="10"/>
                <w:color w:val="auto"/>
              </w:rPr>
              <w:t>7,039</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839,246</w:t>
            </w:r>
          </w:p>
        </w:tc>
      </w:tr>
      <w:tr>
        <w:trPr>
          <w:trHeight w:val="108"/>
        </w:trPr>
        <w:tc>
          <w:tcPr>
            <w:tcW w:w="25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i w:val="1"/>
                <w:iCs w:val="1"/>
                <w:color w:val="auto"/>
              </w:rPr>
              <w:t>Senior Vice President,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89"/>
              </w:rPr>
              <w:t>2009</w:t>
            </w:r>
          </w:p>
        </w:tc>
        <w:tc>
          <w:tcPr>
            <w:tcW w:w="74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$280,000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128,979</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322,589</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108" w:lineRule="exact"/>
              <w:rPr>
                <w:sz w:val="20"/>
                <w:szCs w:val="20"/>
                <w:color w:val="auto"/>
              </w:rPr>
            </w:pPr>
            <w:r>
              <w:rPr>
                <w:rFonts w:ascii="Arial" w:cs="Arial" w:eastAsia="Arial" w:hAnsi="Arial"/>
                <w:sz w:val="10"/>
                <w:szCs w:val="10"/>
                <w:color w:val="auto"/>
                <w:w w:val="93"/>
              </w:rPr>
              <w:t>208,992</w:t>
            </w:r>
          </w:p>
        </w:tc>
        <w:tc>
          <w:tcPr>
            <w:tcW w:w="520" w:type="dxa"/>
            <w:vAlign w:val="bottom"/>
            <w:gridSpan w:val="2"/>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108" w:lineRule="exact"/>
              <w:rPr>
                <w:sz w:val="20"/>
                <w:szCs w:val="20"/>
                <w:color w:val="auto"/>
              </w:rPr>
            </w:pPr>
            <w:r>
              <w:rPr>
                <w:rFonts w:ascii="Arial" w:cs="Arial" w:eastAsia="Arial" w:hAnsi="Arial"/>
                <w:sz w:val="10"/>
                <w:szCs w:val="10"/>
                <w:color w:val="auto"/>
              </w:rPr>
              <w:t>6,741</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947,301</w:t>
            </w:r>
          </w:p>
        </w:tc>
      </w:tr>
      <w:tr>
        <w:trPr>
          <w:trHeight w:val="108"/>
        </w:trPr>
        <w:tc>
          <w:tcPr>
            <w:tcW w:w="25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i w:val="1"/>
                <w:iCs w:val="1"/>
                <w:color w:val="auto"/>
              </w:rPr>
              <w:t>Chief Financial Officer</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89"/>
              </w:rPr>
              <w:t>2008</w:t>
            </w:r>
          </w:p>
        </w:tc>
        <w:tc>
          <w:tcPr>
            <w:tcW w:w="74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$270,000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883,800</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108" w:lineRule="exact"/>
              <w:rPr>
                <w:sz w:val="20"/>
                <w:szCs w:val="20"/>
                <w:color w:val="auto"/>
              </w:rPr>
            </w:pPr>
            <w:r>
              <w:rPr>
                <w:rFonts w:ascii="Arial" w:cs="Arial" w:eastAsia="Arial" w:hAnsi="Arial"/>
                <w:sz w:val="10"/>
                <w:szCs w:val="10"/>
                <w:color w:val="auto"/>
                <w:w w:val="93"/>
              </w:rPr>
              <w:t>210,600</w:t>
            </w:r>
          </w:p>
        </w:tc>
        <w:tc>
          <w:tcPr>
            <w:tcW w:w="520" w:type="dxa"/>
            <w:vAlign w:val="bottom"/>
            <w:gridSpan w:val="2"/>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108" w:lineRule="exact"/>
              <w:rPr>
                <w:sz w:val="20"/>
                <w:szCs w:val="20"/>
                <w:color w:val="auto"/>
              </w:rPr>
            </w:pPr>
            <w:r>
              <w:rPr>
                <w:rFonts w:ascii="Arial" w:cs="Arial" w:eastAsia="Arial" w:hAnsi="Arial"/>
                <w:sz w:val="10"/>
                <w:szCs w:val="10"/>
                <w:color w:val="auto"/>
              </w:rPr>
              <w:t>7,693</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w w:val="89"/>
              </w:rPr>
              <w:t>1,372,093</w:t>
            </w:r>
          </w:p>
        </w:tc>
      </w:tr>
      <w:tr>
        <w:trPr>
          <w:trHeight w:val="121"/>
        </w:trPr>
        <w:tc>
          <w:tcPr>
            <w:tcW w:w="2560" w:type="dxa"/>
            <w:vAlign w:val="bottom"/>
            <w:shd w:val="clear" w:color="auto" w:fill="CCEEFF"/>
          </w:tcPr>
          <w:p>
            <w:pPr>
              <w:ind w:left="120"/>
              <w:spacing w:after="0"/>
              <w:rPr>
                <w:sz w:val="20"/>
                <w:szCs w:val="20"/>
                <w:color w:val="auto"/>
              </w:rPr>
            </w:pPr>
            <w:r>
              <w:rPr>
                <w:rFonts w:ascii="Arial" w:cs="Arial" w:eastAsia="Arial" w:hAnsi="Arial"/>
                <w:sz w:val="10"/>
                <w:szCs w:val="10"/>
                <w:i w:val="1"/>
                <w:iCs w:val="1"/>
                <w:color w:val="auto"/>
              </w:rPr>
              <w:t>and Treasurer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95"/>
        </w:trPr>
        <w:tc>
          <w:tcPr>
            <w:tcW w:w="2560" w:type="dxa"/>
            <w:vAlign w:val="bottom"/>
          </w:tcPr>
          <w:p>
            <w:pPr>
              <w:spacing w:after="0" w:line="95" w:lineRule="exact"/>
              <w:rPr>
                <w:sz w:val="20"/>
                <w:szCs w:val="20"/>
                <w:color w:val="auto"/>
              </w:rPr>
            </w:pPr>
            <w:r>
              <w:rPr>
                <w:rFonts w:ascii="Arial" w:cs="Arial" w:eastAsia="Arial" w:hAnsi="Arial"/>
                <w:sz w:val="10"/>
                <w:szCs w:val="10"/>
                <w:color w:val="auto"/>
              </w:rPr>
              <w:t>John R. Collett</w:t>
            </w:r>
          </w:p>
        </w:tc>
        <w:tc>
          <w:tcPr>
            <w:tcW w:w="80" w:type="dxa"/>
            <w:vAlign w:val="bottom"/>
          </w:tcPr>
          <w:p>
            <w:pPr>
              <w:spacing w:after="0"/>
              <w:rPr>
                <w:sz w:val="8"/>
                <w:szCs w:val="8"/>
                <w:color w:val="auto"/>
              </w:rPr>
            </w:pPr>
          </w:p>
        </w:tc>
        <w:tc>
          <w:tcPr>
            <w:tcW w:w="400" w:type="dxa"/>
            <w:vAlign w:val="bottom"/>
          </w:tcPr>
          <w:p>
            <w:pPr>
              <w:jc w:val="center"/>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tcPr>
          <w:p>
            <w:pPr>
              <w:jc w:val="right"/>
              <w:ind w:right="114"/>
              <w:spacing w:after="0" w:line="95" w:lineRule="exact"/>
              <w:rPr>
                <w:sz w:val="20"/>
                <w:szCs w:val="20"/>
                <w:color w:val="auto"/>
              </w:rPr>
            </w:pPr>
            <w:r>
              <w:rPr>
                <w:rFonts w:ascii="Arial" w:cs="Arial" w:eastAsia="Arial" w:hAnsi="Arial"/>
                <w:sz w:val="10"/>
                <w:szCs w:val="10"/>
                <w:color w:val="auto"/>
              </w:rPr>
              <w:t>$250,000</w:t>
            </w:r>
          </w:p>
        </w:tc>
        <w:tc>
          <w:tcPr>
            <w:tcW w:w="240" w:type="dxa"/>
            <w:vAlign w:val="bottom"/>
            <w:gridSpan w:val="2"/>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315,792</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328,856</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line="95" w:lineRule="exact"/>
              <w:rPr>
                <w:sz w:val="20"/>
                <w:szCs w:val="20"/>
                <w:color w:val="auto"/>
              </w:rPr>
            </w:pPr>
            <w:r>
              <w:rPr>
                <w:rFonts w:ascii="Arial" w:cs="Arial" w:eastAsia="Arial" w:hAnsi="Arial"/>
                <w:sz w:val="10"/>
                <w:szCs w:val="10"/>
                <w:color w:val="auto"/>
              </w:rPr>
              <w:t>—</w:t>
            </w:r>
          </w:p>
        </w:tc>
        <w:tc>
          <w:tcPr>
            <w:tcW w:w="520" w:type="dxa"/>
            <w:vAlign w:val="bottom"/>
            <w:gridSpan w:val="2"/>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line="95" w:lineRule="exact"/>
              <w:rPr>
                <w:sz w:val="20"/>
                <w:szCs w:val="20"/>
                <w:color w:val="auto"/>
              </w:rPr>
            </w:pPr>
            <w:r>
              <w:rPr>
                <w:rFonts w:ascii="Arial" w:cs="Arial" w:eastAsia="Arial" w:hAnsi="Arial"/>
                <w:sz w:val="10"/>
                <w:szCs w:val="10"/>
                <w:color w:val="auto"/>
              </w:rPr>
              <w:t>8,200</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902,848</w:t>
            </w:r>
          </w:p>
        </w:tc>
      </w:tr>
      <w:tr>
        <w:trPr>
          <w:trHeight w:val="108"/>
        </w:trPr>
        <w:tc>
          <w:tcPr>
            <w:tcW w:w="2560" w:type="dxa"/>
            <w:vAlign w:val="bottom"/>
          </w:tcPr>
          <w:p>
            <w:pPr>
              <w:ind w:left="120"/>
              <w:spacing w:after="0" w:line="108" w:lineRule="exact"/>
              <w:rPr>
                <w:sz w:val="20"/>
                <w:szCs w:val="20"/>
                <w:color w:val="auto"/>
              </w:rPr>
            </w:pPr>
            <w:r>
              <w:rPr>
                <w:rFonts w:ascii="Arial" w:cs="Arial" w:eastAsia="Arial" w:hAnsi="Arial"/>
                <w:sz w:val="10"/>
                <w:szCs w:val="10"/>
                <w:i w:val="1"/>
                <w:iCs w:val="1"/>
                <w:color w:val="auto"/>
              </w:rPr>
              <w:t>Former Senior Vice President,</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21"/>
        </w:trPr>
        <w:tc>
          <w:tcPr>
            <w:tcW w:w="2560" w:type="dxa"/>
            <w:vAlign w:val="bottom"/>
          </w:tcPr>
          <w:p>
            <w:pPr>
              <w:ind w:left="120"/>
              <w:spacing w:after="0"/>
              <w:rPr>
                <w:sz w:val="20"/>
                <w:szCs w:val="20"/>
                <w:color w:val="auto"/>
              </w:rPr>
            </w:pPr>
            <w:r>
              <w:rPr>
                <w:rFonts w:ascii="Arial" w:cs="Arial" w:eastAsia="Arial" w:hAnsi="Arial"/>
                <w:sz w:val="10"/>
                <w:szCs w:val="10"/>
                <w:i w:val="1"/>
                <w:iCs w:val="1"/>
                <w:color w:val="auto"/>
              </w:rPr>
              <w:t>Chief Strategy Officer(8)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95"/>
        </w:trPr>
        <w:tc>
          <w:tcPr>
            <w:tcW w:w="25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Charles W. Stankiewicz</w:t>
            </w:r>
          </w:p>
        </w:tc>
        <w:tc>
          <w:tcPr>
            <w:tcW w:w="480" w:type="dxa"/>
            <w:vAlign w:val="bottom"/>
            <w:gridSpan w:val="2"/>
            <w:shd w:val="clear" w:color="auto" w:fill="CCEEFF"/>
          </w:tcPr>
          <w:p>
            <w:pPr>
              <w:jc w:val="center"/>
              <w:ind w:left="28"/>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shd w:val="clear" w:color="auto" w:fill="CCEEFF"/>
          </w:tcPr>
          <w:p>
            <w:pPr>
              <w:jc w:val="right"/>
              <w:ind w:right="114"/>
              <w:spacing w:after="0" w:line="95" w:lineRule="exact"/>
              <w:rPr>
                <w:sz w:val="20"/>
                <w:szCs w:val="20"/>
                <w:color w:val="auto"/>
              </w:rPr>
            </w:pPr>
            <w:r>
              <w:rPr>
                <w:rFonts w:ascii="Arial" w:cs="Arial" w:eastAsia="Arial" w:hAnsi="Arial"/>
                <w:sz w:val="10"/>
                <w:szCs w:val="10"/>
                <w:color w:val="auto"/>
              </w:rPr>
              <w:t>$321,000</w:t>
            </w:r>
          </w:p>
        </w:tc>
        <w:tc>
          <w:tcPr>
            <w:tcW w:w="24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175,440</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182,698</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9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95" w:lineRule="exact"/>
              <w:rPr>
                <w:sz w:val="20"/>
                <w:szCs w:val="20"/>
                <w:color w:val="auto"/>
              </w:rPr>
            </w:pPr>
            <w:r>
              <w:rPr>
                <w:rFonts w:ascii="Arial" w:cs="Arial" w:eastAsia="Arial" w:hAnsi="Arial"/>
                <w:sz w:val="10"/>
                <w:szCs w:val="10"/>
                <w:color w:val="auto"/>
              </w:rPr>
              <w:t>9,366</w:t>
            </w:r>
          </w:p>
        </w:tc>
        <w:tc>
          <w:tcPr>
            <w:tcW w:w="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95" w:lineRule="exact"/>
              <w:rPr>
                <w:sz w:val="20"/>
                <w:szCs w:val="20"/>
                <w:color w:val="auto"/>
              </w:rPr>
            </w:pPr>
            <w:r>
              <w:rPr>
                <w:rFonts w:ascii="Arial" w:cs="Arial" w:eastAsia="Arial" w:hAnsi="Arial"/>
                <w:sz w:val="10"/>
                <w:szCs w:val="10"/>
                <w:color w:val="auto"/>
              </w:rPr>
              <w:t>688,504</w:t>
            </w:r>
          </w:p>
        </w:tc>
      </w:tr>
      <w:tr>
        <w:trPr>
          <w:trHeight w:val="108"/>
        </w:trPr>
        <w:tc>
          <w:tcPr>
            <w:tcW w:w="25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i w:val="1"/>
                <w:iCs w:val="1"/>
                <w:color w:val="auto"/>
              </w:rPr>
              <w:t>Former Executive Vice</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89"/>
              </w:rPr>
              <w:t>2009</w:t>
            </w:r>
          </w:p>
        </w:tc>
        <w:tc>
          <w:tcPr>
            <w:tcW w:w="74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$312,000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278,190</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rPr>
              <w:t>322,589</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line="108" w:lineRule="exact"/>
              <w:rPr>
                <w:sz w:val="20"/>
                <w:szCs w:val="20"/>
                <w:color w:val="auto"/>
              </w:rPr>
            </w:pPr>
            <w:r>
              <w:rPr>
                <w:rFonts w:ascii="Arial" w:cs="Arial" w:eastAsia="Arial" w:hAnsi="Arial"/>
                <w:sz w:val="10"/>
                <w:szCs w:val="10"/>
                <w:color w:val="auto"/>
                <w:w w:val="93"/>
              </w:rPr>
              <w:t>243,360</w:t>
            </w:r>
          </w:p>
        </w:tc>
        <w:tc>
          <w:tcPr>
            <w:tcW w:w="520" w:type="dxa"/>
            <w:vAlign w:val="bottom"/>
            <w:gridSpan w:val="2"/>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line="108" w:lineRule="exact"/>
              <w:rPr>
                <w:sz w:val="20"/>
                <w:szCs w:val="20"/>
                <w:color w:val="auto"/>
              </w:rPr>
            </w:pPr>
            <w:r>
              <w:rPr>
                <w:rFonts w:ascii="Arial" w:cs="Arial" w:eastAsia="Arial" w:hAnsi="Arial"/>
                <w:sz w:val="10"/>
                <w:szCs w:val="10"/>
                <w:color w:val="auto"/>
                <w:w w:val="84"/>
              </w:rPr>
              <w:t>11,308</w:t>
            </w: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line="108" w:lineRule="exact"/>
              <w:rPr>
                <w:sz w:val="20"/>
                <w:szCs w:val="20"/>
                <w:color w:val="auto"/>
              </w:rPr>
            </w:pPr>
            <w:r>
              <w:rPr>
                <w:rFonts w:ascii="Arial" w:cs="Arial" w:eastAsia="Arial" w:hAnsi="Arial"/>
                <w:sz w:val="10"/>
                <w:szCs w:val="10"/>
                <w:color w:val="auto"/>
                <w:w w:val="89"/>
              </w:rPr>
              <w:t>1,167,448</w:t>
            </w:r>
          </w:p>
        </w:tc>
      </w:tr>
      <w:tr>
        <w:trPr>
          <w:trHeight w:val="121"/>
        </w:trPr>
        <w:tc>
          <w:tcPr>
            <w:tcW w:w="2560" w:type="dxa"/>
            <w:vAlign w:val="bottom"/>
            <w:shd w:val="clear" w:color="auto" w:fill="CCEEFF"/>
          </w:tcPr>
          <w:p>
            <w:pPr>
              <w:ind w:left="120"/>
              <w:spacing w:after="0"/>
              <w:rPr>
                <w:sz w:val="20"/>
                <w:szCs w:val="20"/>
                <w:color w:val="auto"/>
              </w:rPr>
            </w:pPr>
            <w:r>
              <w:rPr>
                <w:rFonts w:ascii="Arial" w:cs="Arial" w:eastAsia="Arial" w:hAnsi="Arial"/>
                <w:sz w:val="10"/>
                <w:szCs w:val="10"/>
                <w:i w:val="1"/>
                <w:iCs w:val="1"/>
                <w:color w:val="auto"/>
              </w:rPr>
              <w:t>President, Operations and Grid Segment(9)</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2008</w:t>
            </w:r>
          </w:p>
        </w:tc>
        <w:tc>
          <w:tcPr>
            <w:tcW w:w="740" w:type="dxa"/>
            <w:vAlign w:val="bottom"/>
            <w:gridSpan w:val="2"/>
            <w:shd w:val="clear" w:color="auto" w:fill="CCEEFF"/>
          </w:tcPr>
          <w:p>
            <w:pPr>
              <w:jc w:val="right"/>
              <w:ind w:right="114"/>
              <w:spacing w:after="0"/>
              <w:rPr>
                <w:sz w:val="20"/>
                <w:szCs w:val="20"/>
                <w:color w:val="auto"/>
              </w:rPr>
            </w:pPr>
            <w:r>
              <w:rPr>
                <w:rFonts w:ascii="Arial" w:cs="Arial" w:eastAsia="Arial" w:hAnsi="Arial"/>
                <w:sz w:val="10"/>
                <w:szCs w:val="10"/>
                <w:color w:val="auto"/>
              </w:rPr>
              <w:t>$300,000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0"/>
              </w:rPr>
              <w:t>10,149(10)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89"/>
              </w:rPr>
              <w:t>1,325,700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93"/>
              </w:rPr>
              <w:t>209,220</w:t>
            </w:r>
          </w:p>
        </w:tc>
        <w:tc>
          <w:tcPr>
            <w:tcW w:w="52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9,136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89"/>
              </w:rPr>
              <w:t>1,854,205</w:t>
            </w:r>
          </w:p>
        </w:tc>
      </w:tr>
      <w:tr>
        <w:trPr>
          <w:trHeight w:val="95"/>
        </w:trPr>
        <w:tc>
          <w:tcPr>
            <w:tcW w:w="2560" w:type="dxa"/>
            <w:vAlign w:val="bottom"/>
          </w:tcPr>
          <w:p>
            <w:pPr>
              <w:spacing w:after="0" w:line="95" w:lineRule="exact"/>
              <w:rPr>
                <w:sz w:val="20"/>
                <w:szCs w:val="20"/>
                <w:color w:val="auto"/>
              </w:rPr>
            </w:pPr>
            <w:r>
              <w:rPr>
                <w:rFonts w:ascii="Arial" w:cs="Arial" w:eastAsia="Arial" w:hAnsi="Arial"/>
                <w:sz w:val="10"/>
                <w:szCs w:val="10"/>
                <w:color w:val="auto"/>
              </w:rPr>
              <w:t>Susan J. DiCecco</w:t>
            </w:r>
          </w:p>
        </w:tc>
        <w:tc>
          <w:tcPr>
            <w:tcW w:w="80" w:type="dxa"/>
            <w:vAlign w:val="bottom"/>
          </w:tcPr>
          <w:p>
            <w:pPr>
              <w:spacing w:after="0"/>
              <w:rPr>
                <w:sz w:val="8"/>
                <w:szCs w:val="8"/>
                <w:color w:val="auto"/>
              </w:rPr>
            </w:pPr>
          </w:p>
        </w:tc>
        <w:tc>
          <w:tcPr>
            <w:tcW w:w="400" w:type="dxa"/>
            <w:vAlign w:val="bottom"/>
          </w:tcPr>
          <w:p>
            <w:pPr>
              <w:jc w:val="center"/>
              <w:spacing w:after="0" w:line="95" w:lineRule="exact"/>
              <w:rPr>
                <w:sz w:val="20"/>
                <w:szCs w:val="20"/>
                <w:color w:val="auto"/>
              </w:rPr>
            </w:pPr>
            <w:r>
              <w:rPr>
                <w:rFonts w:ascii="Arial" w:cs="Arial" w:eastAsia="Arial" w:hAnsi="Arial"/>
                <w:sz w:val="10"/>
                <w:szCs w:val="10"/>
                <w:color w:val="auto"/>
                <w:w w:val="89"/>
              </w:rPr>
              <w:t>2010</w:t>
            </w:r>
          </w:p>
        </w:tc>
        <w:tc>
          <w:tcPr>
            <w:tcW w:w="740" w:type="dxa"/>
            <w:vAlign w:val="bottom"/>
            <w:gridSpan w:val="2"/>
          </w:tcPr>
          <w:p>
            <w:pPr>
              <w:jc w:val="right"/>
              <w:ind w:right="114"/>
              <w:spacing w:after="0" w:line="95" w:lineRule="exact"/>
              <w:rPr>
                <w:sz w:val="20"/>
                <w:szCs w:val="20"/>
                <w:color w:val="auto"/>
              </w:rPr>
            </w:pPr>
            <w:r>
              <w:rPr>
                <w:rFonts w:ascii="Arial" w:cs="Arial" w:eastAsia="Arial" w:hAnsi="Arial"/>
                <w:sz w:val="10"/>
                <w:szCs w:val="10"/>
                <w:color w:val="auto"/>
              </w:rPr>
              <w:t>$225,000</w:t>
            </w:r>
          </w:p>
        </w:tc>
        <w:tc>
          <w:tcPr>
            <w:tcW w:w="240" w:type="dxa"/>
            <w:vAlign w:val="bottom"/>
            <w:gridSpan w:val="2"/>
          </w:tcPr>
          <w:p>
            <w:pPr>
              <w:jc w:val="right"/>
              <w:ind w:right="2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8"/>
              <w:spacing w:after="0" w:line="95"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157,896</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164,428</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line="95" w:lineRule="exact"/>
              <w:rPr>
                <w:sz w:val="20"/>
                <w:szCs w:val="20"/>
                <w:color w:val="auto"/>
              </w:rPr>
            </w:pPr>
            <w:r>
              <w:rPr>
                <w:rFonts w:ascii="Arial" w:cs="Arial" w:eastAsia="Arial" w:hAnsi="Arial"/>
                <w:sz w:val="10"/>
                <w:szCs w:val="10"/>
                <w:color w:val="auto"/>
              </w:rPr>
              <w:t>44,190</w:t>
            </w:r>
          </w:p>
        </w:tc>
        <w:tc>
          <w:tcPr>
            <w:tcW w:w="520" w:type="dxa"/>
            <w:vAlign w:val="bottom"/>
            <w:gridSpan w:val="2"/>
          </w:tcPr>
          <w:p>
            <w:pPr>
              <w:ind w:left="460"/>
              <w:spacing w:after="0" w:line="95"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line="95" w:lineRule="exact"/>
              <w:rPr>
                <w:sz w:val="20"/>
                <w:szCs w:val="20"/>
                <w:color w:val="auto"/>
              </w:rPr>
            </w:pPr>
            <w:r>
              <w:rPr>
                <w:rFonts w:ascii="Arial" w:cs="Arial" w:eastAsia="Arial" w:hAnsi="Arial"/>
                <w:sz w:val="10"/>
                <w:szCs w:val="10"/>
                <w:color w:val="auto"/>
              </w:rPr>
              <w:t>8,149</w:t>
            </w:r>
          </w:p>
        </w:tc>
        <w:tc>
          <w:tcPr>
            <w:tcW w:w="3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95" w:lineRule="exact"/>
              <w:rPr>
                <w:sz w:val="20"/>
                <w:szCs w:val="20"/>
                <w:color w:val="auto"/>
              </w:rPr>
            </w:pPr>
            <w:r>
              <w:rPr>
                <w:rFonts w:ascii="Arial" w:cs="Arial" w:eastAsia="Arial" w:hAnsi="Arial"/>
                <w:sz w:val="10"/>
                <w:szCs w:val="10"/>
                <w:color w:val="auto"/>
              </w:rPr>
              <w:t>599,663</w:t>
            </w:r>
          </w:p>
        </w:tc>
      </w:tr>
      <w:tr>
        <w:trPr>
          <w:trHeight w:val="108"/>
        </w:trPr>
        <w:tc>
          <w:tcPr>
            <w:tcW w:w="2560" w:type="dxa"/>
            <w:vAlign w:val="bottom"/>
          </w:tcPr>
          <w:p>
            <w:pPr>
              <w:ind w:left="120"/>
              <w:spacing w:after="0" w:line="108" w:lineRule="exact"/>
              <w:rPr>
                <w:sz w:val="20"/>
                <w:szCs w:val="20"/>
                <w:color w:val="auto"/>
              </w:rPr>
            </w:pPr>
            <w:r>
              <w:rPr>
                <w:rFonts w:ascii="Arial" w:cs="Arial" w:eastAsia="Arial" w:hAnsi="Arial"/>
                <w:sz w:val="10"/>
                <w:szCs w:val="10"/>
                <w:i w:val="1"/>
                <w:iCs w:val="1"/>
                <w:color w:val="auto"/>
              </w:rPr>
              <w:t>Senior Vice President,</w:t>
            </w:r>
          </w:p>
        </w:tc>
        <w:tc>
          <w:tcPr>
            <w:tcW w:w="480" w:type="dxa"/>
            <w:vAlign w:val="bottom"/>
            <w:gridSpan w:val="2"/>
          </w:tcPr>
          <w:p>
            <w:pPr>
              <w:jc w:val="center"/>
              <w:ind w:left="28"/>
              <w:spacing w:after="0" w:line="108" w:lineRule="exact"/>
              <w:rPr>
                <w:sz w:val="20"/>
                <w:szCs w:val="20"/>
                <w:color w:val="auto"/>
              </w:rPr>
            </w:pPr>
            <w:r>
              <w:rPr>
                <w:rFonts w:ascii="Arial" w:cs="Arial" w:eastAsia="Arial" w:hAnsi="Arial"/>
                <w:sz w:val="10"/>
                <w:szCs w:val="10"/>
                <w:color w:val="auto"/>
                <w:w w:val="89"/>
              </w:rPr>
              <w:t>2009</w:t>
            </w:r>
          </w:p>
        </w:tc>
        <w:tc>
          <w:tcPr>
            <w:tcW w:w="74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$192,333</w:t>
            </w:r>
          </w:p>
        </w:tc>
        <w:tc>
          <w:tcPr>
            <w:tcW w:w="2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rPr>
              <w:t>250,600</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rPr>
              <w:t>185,868</w:t>
            </w:r>
          </w:p>
        </w:tc>
        <w:tc>
          <w:tcPr>
            <w:tcW w:w="500" w:type="dxa"/>
            <w:vAlign w:val="bottom"/>
            <w:gridSpan w:val="2"/>
          </w:tcPr>
          <w:p>
            <w:pPr>
              <w:ind w:left="460"/>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368"/>
              <w:spacing w:after="0" w:line="108" w:lineRule="exact"/>
              <w:rPr>
                <w:sz w:val="20"/>
                <w:szCs w:val="20"/>
                <w:color w:val="auto"/>
              </w:rPr>
            </w:pPr>
            <w:r>
              <w:rPr>
                <w:rFonts w:ascii="Arial" w:cs="Arial" w:eastAsia="Arial" w:hAnsi="Arial"/>
                <w:sz w:val="10"/>
                <w:szCs w:val="10"/>
                <w:color w:val="auto"/>
              </w:rPr>
              <w:t>99,521</w:t>
            </w:r>
          </w:p>
        </w:tc>
        <w:tc>
          <w:tcPr>
            <w:tcW w:w="520" w:type="dxa"/>
            <w:vAlign w:val="bottom"/>
            <w:gridSpan w:val="2"/>
          </w:tcPr>
          <w:p>
            <w:pPr>
              <w:ind w:left="460"/>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388"/>
              <w:spacing w:after="0" w:line="108" w:lineRule="exact"/>
              <w:rPr>
                <w:sz w:val="20"/>
                <w:szCs w:val="20"/>
                <w:color w:val="auto"/>
              </w:rPr>
            </w:pPr>
            <w:r>
              <w:rPr>
                <w:rFonts w:ascii="Arial" w:cs="Arial" w:eastAsia="Arial" w:hAnsi="Arial"/>
                <w:sz w:val="10"/>
                <w:szCs w:val="10"/>
                <w:color w:val="auto"/>
              </w:rPr>
              <w:t>7,284</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68"/>
              <w:spacing w:after="0" w:line="108" w:lineRule="exact"/>
              <w:rPr>
                <w:sz w:val="20"/>
                <w:szCs w:val="20"/>
                <w:color w:val="auto"/>
              </w:rPr>
            </w:pPr>
            <w:r>
              <w:rPr>
                <w:rFonts w:ascii="Arial" w:cs="Arial" w:eastAsia="Arial" w:hAnsi="Arial"/>
                <w:sz w:val="10"/>
                <w:szCs w:val="10"/>
                <w:color w:val="auto"/>
              </w:rPr>
              <w:t>735,606</w:t>
            </w:r>
          </w:p>
        </w:tc>
      </w:tr>
      <w:tr>
        <w:trPr>
          <w:trHeight w:val="131"/>
        </w:trPr>
        <w:tc>
          <w:tcPr>
            <w:tcW w:w="2560" w:type="dxa"/>
            <w:vAlign w:val="bottom"/>
          </w:tcPr>
          <w:p>
            <w:pPr>
              <w:ind w:left="120"/>
              <w:spacing w:after="0"/>
              <w:rPr>
                <w:sz w:val="20"/>
                <w:szCs w:val="20"/>
                <w:color w:val="auto"/>
              </w:rPr>
            </w:pPr>
            <w:r>
              <w:rPr>
                <w:rFonts w:ascii="Arial" w:cs="Arial" w:eastAsia="Arial" w:hAnsi="Arial"/>
                <w:sz w:val="10"/>
                <w:szCs w:val="10"/>
                <w:i w:val="1"/>
                <w:iCs w:val="1"/>
                <w:color w:val="auto"/>
              </w:rPr>
              <w:t>Corporate Administration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-1341755</wp:posOffset>
            </wp:positionV>
            <wp:extent cx="1841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1000" w:hanging="259"/>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Refers to the fiscal years ended March 31, 2011 (fiscal 2010), March 31, 2010 (fiscal 2009) and March 31, 2009 (fiscal 2008).</w:t>
      </w:r>
    </w:p>
    <w:p>
      <w:pPr>
        <w:spacing w:after="0" w:line="47" w:lineRule="exact"/>
        <w:rPr>
          <w:rFonts w:ascii="Arial" w:cs="Arial" w:eastAsia="Arial" w:hAnsi="Arial"/>
          <w:sz w:val="13"/>
          <w:szCs w:val="13"/>
          <w:color w:val="auto"/>
        </w:rPr>
      </w:pPr>
    </w:p>
    <w:p>
      <w:pPr>
        <w:jc w:val="both"/>
        <w:ind w:left="1000" w:hanging="259"/>
        <w:spacing w:after="0" w:line="264" w:lineRule="auto"/>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shown reflect the grant date fair value of awards granted during the applicable fiscal year computed in accordance with FASB ASC Topic 718. A discussion of the assumptions used in calculating the amounts in this column may be found in Note 11 to our audited consolidated financial statements for fiscal 2010 included elsewhere in this Annual Report on Form 10-K.</w:t>
      </w:r>
    </w:p>
    <w:p>
      <w:pPr>
        <w:spacing w:after="0" w:line="17" w:lineRule="exact"/>
        <w:rPr>
          <w:rFonts w:ascii="Arial" w:cs="Arial" w:eastAsia="Arial" w:hAnsi="Arial"/>
          <w:sz w:val="13"/>
          <w:szCs w:val="13"/>
          <w:color w:val="auto"/>
        </w:rPr>
      </w:pPr>
    </w:p>
    <w:p>
      <w:pPr>
        <w:ind w:left="1000" w:hanging="259"/>
        <w:spacing w:after="0" w:line="276" w:lineRule="auto"/>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in this column reflect cash bonuses paid under our executive incentive plans for fiscal 2010, fiscal 2009 and fiscal 2008. See “Compensation Discussion and Analysis — Compensation Mix — Performance-Based Annual Cash Bonuses” above for a description of the plan for fiscal 2010.</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All Other Compensation is comprised of the following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228"/>
              <w:spacing w:after="0"/>
              <w:rPr>
                <w:sz w:val="20"/>
                <w:szCs w:val="20"/>
                <w:color w:val="auto"/>
              </w:rPr>
            </w:pPr>
            <w:r>
              <w:rPr>
                <w:rFonts w:ascii="Arial" w:cs="Arial" w:eastAsia="Arial" w:hAnsi="Arial"/>
                <w:sz w:val="10"/>
                <w:szCs w:val="10"/>
                <w:b w:val="1"/>
                <w:bCs w:val="1"/>
                <w:color w:val="auto"/>
              </w:rPr>
              <w:t>Life Insurance</w:t>
            </w:r>
          </w:p>
        </w:tc>
        <w:tc>
          <w:tcPr>
            <w:tcW w:w="280" w:type="dxa"/>
            <w:vAlign w:val="bottom"/>
          </w:tcPr>
          <w:p>
            <w:pPr>
              <w:spacing w:after="0"/>
              <w:rPr>
                <w:sz w:val="10"/>
                <w:szCs w:val="10"/>
                <w:color w:val="auto"/>
              </w:rPr>
            </w:pPr>
          </w:p>
        </w:tc>
        <w:tc>
          <w:tcPr>
            <w:tcW w:w="2040" w:type="dxa"/>
            <w:vAlign w:val="bottom"/>
          </w:tcPr>
          <w:p>
            <w:pPr>
              <w:jc w:val="right"/>
              <w:ind w:right="463"/>
              <w:spacing w:after="0"/>
              <w:rPr>
                <w:sz w:val="20"/>
                <w:szCs w:val="20"/>
                <w:color w:val="auto"/>
              </w:rPr>
            </w:pPr>
            <w:r>
              <w:rPr>
                <w:rFonts w:ascii="Arial" w:cs="Arial" w:eastAsia="Arial" w:hAnsi="Arial"/>
                <w:sz w:val="10"/>
                <w:szCs w:val="10"/>
                <w:b w:val="1"/>
                <w:bCs w:val="1"/>
                <w:color w:val="auto"/>
              </w:rPr>
              <w:t>Defined Contributions</w:t>
            </w:r>
          </w:p>
        </w:tc>
        <w:tc>
          <w:tcPr>
            <w:tcW w:w="0" w:type="dxa"/>
            <w:vAlign w:val="bottom"/>
          </w:tcPr>
          <w:p>
            <w:pPr>
              <w:spacing w:after="0"/>
              <w:rPr>
                <w:sz w:val="1"/>
                <w:szCs w:val="1"/>
                <w:color w:val="auto"/>
              </w:rPr>
            </w:pPr>
          </w:p>
        </w:tc>
      </w:tr>
      <w:tr>
        <w:trPr>
          <w:trHeight w:val="125"/>
        </w:trPr>
        <w:tc>
          <w:tcPr>
            <w:tcW w:w="5100" w:type="dxa"/>
            <w:vAlign w:val="bottom"/>
            <w:vMerge w:val="continue"/>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Fiscal Year</w:t>
            </w:r>
          </w:p>
        </w:tc>
        <w:tc>
          <w:tcPr>
            <w:tcW w:w="280" w:type="dxa"/>
            <w:vAlign w:val="bottom"/>
          </w:tcPr>
          <w:p>
            <w:pPr>
              <w:spacing w:after="0"/>
              <w:rPr>
                <w:sz w:val="10"/>
                <w:szCs w:val="10"/>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Premiums</w:t>
            </w:r>
          </w:p>
        </w:tc>
        <w:tc>
          <w:tcPr>
            <w:tcW w:w="280" w:type="dxa"/>
            <w:vAlign w:val="bottom"/>
          </w:tcPr>
          <w:p>
            <w:pPr>
              <w:spacing w:after="0"/>
              <w:rPr>
                <w:sz w:val="10"/>
                <w:szCs w:val="10"/>
                <w:color w:val="auto"/>
              </w:rPr>
            </w:pPr>
          </w:p>
        </w:tc>
        <w:tc>
          <w:tcPr>
            <w:tcW w:w="204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for 401(k) Stock Match</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20"/>
                <w:szCs w:val="20"/>
                <w:color w:val="auto"/>
              </w:rPr>
            </w:pPr>
            <w:r>
              <w:rPr>
                <w:rFonts w:ascii="Arial" w:cs="Arial" w:eastAsia="Arial" w:hAnsi="Arial"/>
                <w:sz w:val="13"/>
                <w:szCs w:val="13"/>
                <w:color w:val="auto"/>
              </w:rPr>
              <w:t>Gregory J. Yurek</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$8,106</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6,935</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2,769</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2008</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7,272</w:t>
            </w:r>
          </w:p>
        </w:tc>
        <w:tc>
          <w:tcPr>
            <w:tcW w:w="280" w:type="dxa"/>
            <w:vAlign w:val="bottom"/>
          </w:tcPr>
          <w:p>
            <w:pPr>
              <w:spacing w:after="0"/>
              <w:rPr>
                <w:sz w:val="13"/>
                <w:szCs w:val="13"/>
                <w:color w:val="auto"/>
              </w:rPr>
            </w:pPr>
          </w:p>
        </w:tc>
        <w:tc>
          <w:tcPr>
            <w:tcW w:w="2040" w:type="dxa"/>
            <w:vAlign w:val="bottom"/>
          </w:tcPr>
          <w:p>
            <w:pPr>
              <w:jc w:val="right"/>
              <w:ind w:right="80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Daniel P. McGahn</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1,954</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7,350</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1,958</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6,997</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2008</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1,941</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7,213</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David A. Henry</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1,945</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5,094</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1,905</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4,836</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2008</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1,950</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5,743</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John R. Collett</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1,779</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6,421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Charles W. Stankiewicz</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1,954</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7,412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1,958</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9,350</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2008</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1,913</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7,223</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Susan J. DiCecco</w:t>
            </w: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1,683</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6,466</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520" w:type="dxa"/>
            <w:vAlign w:val="bottom"/>
            <w:gridSpan w:val="2"/>
          </w:tcPr>
          <w:p>
            <w:pPr>
              <w:jc w:val="right"/>
              <w:ind w:right="408"/>
              <w:spacing w:after="0"/>
              <w:rPr>
                <w:sz w:val="20"/>
                <w:szCs w:val="20"/>
                <w:color w:val="auto"/>
              </w:rPr>
            </w:pPr>
            <w:r>
              <w:rPr>
                <w:rFonts w:ascii="Arial" w:cs="Arial" w:eastAsia="Arial" w:hAnsi="Arial"/>
                <w:sz w:val="13"/>
                <w:szCs w:val="13"/>
                <w:color w:val="auto"/>
              </w:rPr>
              <w:t>1,545</w:t>
            </w:r>
          </w:p>
        </w:tc>
        <w:tc>
          <w:tcPr>
            <w:tcW w:w="2320" w:type="dxa"/>
            <w:vAlign w:val="bottom"/>
            <w:gridSpan w:val="2"/>
          </w:tcPr>
          <w:p>
            <w:pPr>
              <w:jc w:val="right"/>
              <w:ind w:right="803"/>
              <w:spacing w:after="0"/>
              <w:rPr>
                <w:sz w:val="20"/>
                <w:szCs w:val="20"/>
                <w:color w:val="auto"/>
              </w:rPr>
            </w:pPr>
            <w:r>
              <w:rPr>
                <w:rFonts w:ascii="Arial" w:cs="Arial" w:eastAsia="Arial" w:hAnsi="Arial"/>
                <w:sz w:val="13"/>
                <w:szCs w:val="13"/>
                <w:color w:val="auto"/>
              </w:rPr>
              <w:t>5,735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line="276" w:lineRule="auto"/>
        <w:rPr>
          <w:sz w:val="20"/>
          <w:szCs w:val="20"/>
          <w:color w:val="auto"/>
        </w:rPr>
      </w:pPr>
      <w:r>
        <w:rPr>
          <w:rFonts w:ascii="Arial" w:cs="Arial" w:eastAsia="Arial" w:hAnsi="Arial"/>
          <w:sz w:val="13"/>
          <w:szCs w:val="13"/>
          <w:color w:val="auto"/>
        </w:rPr>
        <w:t>The life insurance premium amounts in the table above reflect premiums paid by us for life insurance for which the named executive is the named beneficiary. The amounts disclosed with respect to Dr. Yurek include $6,153 of premiums paid by us for a term life insurance policy for which his wife is the beneficiary.</w:t>
      </w:r>
    </w:p>
    <w:p>
      <w:pPr>
        <w:spacing w:after="0" w:line="49" w:lineRule="exact"/>
        <w:rPr>
          <w:sz w:val="20"/>
          <w:szCs w:val="20"/>
          <w:color w:val="auto"/>
        </w:rPr>
      </w:pPr>
    </w:p>
    <w:p>
      <w:pPr>
        <w:ind w:left="1080" w:hanging="241"/>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Yurek resigned from the Company effective June 1, 2011.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a special performance bonus received by Dr. Yurek.</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a special performance bonus received by Mr. McGahn.</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Collett joined the Company in October 2009 and mutually agreed to end his employment with the Company, effective July 22, 2011.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Stankiewicz mutually agreed to end his employment with the Company, effective August 23, 2011.</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a special performance bonus received by Mr. Stankiewicz in fiscal 2008.</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Plan-Based Awards Table</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contains information concerning potential future payouts under our fiscal 2010 executive incentive plan and each grant of an option or restricted stock award made during fiscal 2010 to the named executive officers.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All Other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Stock</w:t>
            </w: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Exercise</w:t>
            </w:r>
          </w:p>
        </w:tc>
        <w:tc>
          <w:tcPr>
            <w:tcW w:w="6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Awards:</w:t>
            </w:r>
          </w:p>
        </w:tc>
        <w:tc>
          <w:tcPr>
            <w:tcW w:w="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Option</w:t>
            </w: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95"/>
              </w:rPr>
              <w:t>Estimated Future Payouts Under</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Number of</w:t>
            </w:r>
          </w:p>
        </w:tc>
        <w:tc>
          <w:tcPr>
            <w:tcW w:w="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Awards:</w:t>
            </w:r>
          </w:p>
        </w:tc>
        <w:tc>
          <w:tcPr>
            <w:tcW w:w="8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or Base</w:t>
            </w:r>
          </w:p>
        </w:tc>
        <w:tc>
          <w:tcPr>
            <w:tcW w:w="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Date Fair</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Shares of</w:t>
            </w:r>
          </w:p>
        </w:tc>
        <w:tc>
          <w:tcPr>
            <w:tcW w:w="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8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Price of</w:t>
            </w:r>
          </w:p>
        </w:tc>
        <w:tc>
          <w:tcPr>
            <w:tcW w:w="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Value of</w:t>
            </w: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0"/>
                <w:szCs w:val="10"/>
                <w:b w:val="1"/>
                <w:bCs w:val="1"/>
                <w:color w:val="auto"/>
                <w:w w:val="96"/>
              </w:rPr>
              <w:t>Non-Equity Incentive Plan Awards(1)</w:t>
            </w:r>
          </w:p>
        </w:tc>
        <w:tc>
          <w:tcPr>
            <w:tcW w:w="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4"/>
              </w:rPr>
              <w:t>Stock or</w:t>
            </w:r>
          </w:p>
        </w:tc>
        <w:tc>
          <w:tcPr>
            <w:tcW w:w="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9"/>
              </w:rPr>
              <w:t>Option</w:t>
            </w:r>
          </w:p>
        </w:tc>
        <w:tc>
          <w:tcPr>
            <w:tcW w:w="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91"/>
        </w:trPr>
        <w:tc>
          <w:tcPr>
            <w:tcW w:w="27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Pr>
          <w:p>
            <w:pPr>
              <w:spacing w:after="0"/>
              <w:rPr>
                <w:sz w:val="7"/>
                <w:szCs w:val="7"/>
                <w:color w:val="auto"/>
              </w:rPr>
            </w:pPr>
          </w:p>
        </w:tc>
        <w:tc>
          <w:tcPr>
            <w:tcW w:w="740" w:type="dxa"/>
            <w:vAlign w:val="bottom"/>
            <w:gridSpan w:val="2"/>
          </w:tcPr>
          <w:p>
            <w:pPr>
              <w:jc w:val="center"/>
              <w:ind w:right="80"/>
              <w:spacing w:after="0" w:line="91" w:lineRule="exact"/>
              <w:rPr>
                <w:sz w:val="20"/>
                <w:szCs w:val="20"/>
                <w:color w:val="auto"/>
              </w:rPr>
            </w:pPr>
            <w:r>
              <w:rPr>
                <w:rFonts w:ascii="Arial" w:cs="Arial" w:eastAsia="Arial" w:hAnsi="Arial"/>
                <w:sz w:val="10"/>
                <w:szCs w:val="10"/>
                <w:b w:val="1"/>
                <w:bCs w:val="1"/>
                <w:color w:val="auto"/>
                <w:w w:val="97"/>
              </w:rPr>
              <w:t>Grant</w:t>
            </w:r>
          </w:p>
        </w:tc>
        <w:tc>
          <w:tcPr>
            <w:tcW w:w="70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Threshold</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3"/>
          </w:tcPr>
          <w:p>
            <w:pPr>
              <w:jc w:val="center"/>
              <w:ind w:right="420"/>
              <w:spacing w:after="0" w:line="91" w:lineRule="exact"/>
              <w:rPr>
                <w:sz w:val="20"/>
                <w:szCs w:val="20"/>
                <w:color w:val="auto"/>
              </w:rPr>
            </w:pPr>
            <w:r>
              <w:rPr>
                <w:rFonts w:ascii="Arial" w:cs="Arial" w:eastAsia="Arial" w:hAnsi="Arial"/>
                <w:sz w:val="10"/>
                <w:szCs w:val="10"/>
                <w:b w:val="1"/>
                <w:bCs w:val="1"/>
                <w:color w:val="auto"/>
                <w:w w:val="91"/>
              </w:rPr>
              <w:t>Target</w:t>
            </w:r>
          </w:p>
        </w:tc>
        <w:tc>
          <w:tcPr>
            <w:tcW w:w="700" w:type="dxa"/>
            <w:vAlign w:val="bottom"/>
          </w:tcPr>
          <w:p>
            <w:pPr>
              <w:spacing w:after="0" w:line="91"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7"/>
                <w:szCs w:val="7"/>
                <w:color w:val="auto"/>
              </w:rPr>
            </w:pPr>
          </w:p>
        </w:tc>
        <w:tc>
          <w:tcPr>
            <w:tcW w:w="8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Underlying</w:t>
            </w:r>
          </w:p>
        </w:tc>
        <w:tc>
          <w:tcPr>
            <w:tcW w:w="80" w:type="dxa"/>
            <w:vAlign w:val="bottom"/>
          </w:tcPr>
          <w:p>
            <w:pPr>
              <w:spacing w:after="0"/>
              <w:rPr>
                <w:sz w:val="7"/>
                <w:szCs w:val="7"/>
                <w:color w:val="auto"/>
              </w:rPr>
            </w:pPr>
          </w:p>
        </w:tc>
        <w:tc>
          <w:tcPr>
            <w:tcW w:w="64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3"/>
              </w:rPr>
              <w:t>Awards</w:t>
            </w:r>
          </w:p>
        </w:tc>
        <w:tc>
          <w:tcPr>
            <w:tcW w:w="6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2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right"/>
              <w:ind w:right="103"/>
              <w:spacing w:after="0"/>
              <w:rPr>
                <w:sz w:val="20"/>
                <w:szCs w:val="20"/>
                <w:color w:val="auto"/>
              </w:rPr>
            </w:pPr>
            <w:r>
              <w:rPr>
                <w:rFonts w:ascii="Arial" w:cs="Arial" w:eastAsia="Arial" w:hAnsi="Arial"/>
                <w:sz w:val="10"/>
                <w:szCs w:val="10"/>
                <w:b w:val="1"/>
                <w:bCs w:val="1"/>
                <w:color w:val="auto"/>
              </w:rPr>
              <w:t>$(2)</w:t>
            </w:r>
          </w:p>
        </w:tc>
        <w:tc>
          <w:tcPr>
            <w:tcW w:w="1100" w:type="dxa"/>
            <w:vAlign w:val="bottom"/>
            <w:gridSpan w:val="3"/>
          </w:tcPr>
          <w:p>
            <w:pPr>
              <w:jc w:val="center"/>
              <w:ind w:left="343"/>
              <w:spacing w:after="0"/>
              <w:rPr>
                <w:sz w:val="20"/>
                <w:szCs w:val="20"/>
                <w:color w:val="auto"/>
              </w:rPr>
            </w:pPr>
            <w:r>
              <w:rPr>
                <w:rFonts w:ascii="Arial" w:cs="Arial" w:eastAsia="Arial" w:hAnsi="Arial"/>
                <w:sz w:val="10"/>
                <w:szCs w:val="10"/>
                <w:b w:val="1"/>
                <w:bCs w:val="1"/>
                <w:color w:val="auto"/>
              </w:rPr>
              <w:t>$(3)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ind w:right="163"/>
              <w:spacing w:after="0"/>
              <w:rPr>
                <w:sz w:val="20"/>
                <w:szCs w:val="20"/>
                <w:color w:val="auto"/>
              </w:rPr>
            </w:pPr>
            <w:r>
              <w:rPr>
                <w:rFonts w:ascii="Arial" w:cs="Arial" w:eastAsia="Arial" w:hAnsi="Arial"/>
                <w:sz w:val="10"/>
                <w:szCs w:val="10"/>
                <w:b w:val="1"/>
                <w:bCs w:val="1"/>
                <w:color w:val="auto"/>
                <w:w w:val="89"/>
              </w:rPr>
              <w:t>$(4)</w:t>
            </w:r>
          </w:p>
        </w:tc>
        <w:tc>
          <w:tcPr>
            <w:tcW w:w="86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5"/>
              </w:rPr>
              <w:t>Options(6)</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3"/>
              </w:rPr>
              <w:t>($/Sh)</w:t>
            </w:r>
          </w:p>
        </w:tc>
        <w:tc>
          <w:tcPr>
            <w:tcW w:w="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Awards(7)</w:t>
            </w:r>
          </w:p>
        </w:tc>
        <w:tc>
          <w:tcPr>
            <w:tcW w:w="0" w:type="dxa"/>
            <w:vAlign w:val="bottom"/>
          </w:tcPr>
          <w:p>
            <w:pPr>
              <w:spacing w:after="0"/>
              <w:rPr>
                <w:sz w:val="1"/>
                <w:szCs w:val="1"/>
                <w:color w:val="auto"/>
              </w:rPr>
            </w:pPr>
          </w:p>
        </w:tc>
      </w:tr>
      <w:tr>
        <w:trPr>
          <w:trHeight w:val="29"/>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Gregory J. Yurek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135,000</w:t>
            </w:r>
          </w:p>
        </w:tc>
        <w:tc>
          <w:tcPr>
            <w:tcW w:w="1100" w:type="dxa"/>
            <w:vAlign w:val="bottom"/>
            <w:gridSpan w:val="3"/>
            <w:shd w:val="clear" w:color="auto" w:fill="CCEEFF"/>
          </w:tcPr>
          <w:p>
            <w:pPr>
              <w:jc w:val="center"/>
              <w:ind w:left="343"/>
              <w:spacing w:after="0"/>
              <w:rPr>
                <w:sz w:val="20"/>
                <w:szCs w:val="20"/>
                <w:color w:val="auto"/>
              </w:rPr>
            </w:pPr>
            <w:r>
              <w:rPr>
                <w:rFonts w:ascii="Arial" w:cs="Arial" w:eastAsia="Arial" w:hAnsi="Arial"/>
                <w:sz w:val="12"/>
                <w:szCs w:val="12"/>
                <w:color w:val="auto"/>
                <w:w w:val="87"/>
              </w:rPr>
              <w:t>450,000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63"/>
              <w:spacing w:after="0"/>
              <w:rPr>
                <w:sz w:val="20"/>
                <w:szCs w:val="20"/>
                <w:color w:val="auto"/>
              </w:rPr>
            </w:pPr>
            <w:r>
              <w:rPr>
                <w:rFonts w:ascii="Arial" w:cs="Arial" w:eastAsia="Arial" w:hAnsi="Arial"/>
                <w:sz w:val="12"/>
                <w:szCs w:val="12"/>
                <w:color w:val="auto"/>
                <w:w w:val="92"/>
              </w:rPr>
              <w:t>702,000</w:t>
            </w:r>
          </w:p>
        </w:tc>
        <w:tc>
          <w:tcPr>
            <w:tcW w:w="8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2"/>
                <w:szCs w:val="12"/>
                <w:color w:val="auto"/>
              </w:rPr>
              <w:t>21,000(5)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2"/>
                <w:szCs w:val="12"/>
                <w:color w:val="auto"/>
                <w:w w:val="87"/>
              </w:rPr>
              <w:t>614,040</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2"/>
                <w:szCs w:val="12"/>
                <w:color w:val="auto"/>
              </w:rPr>
              <w:t>36,000</w:t>
            </w:r>
          </w:p>
        </w:tc>
        <w:tc>
          <w:tcPr>
            <w:tcW w:w="720" w:type="dxa"/>
            <w:vAlign w:val="bottom"/>
            <w:gridSpan w:val="2"/>
            <w:shd w:val="clear" w:color="auto" w:fill="CCEEFF"/>
          </w:tcPr>
          <w:p>
            <w:pPr>
              <w:jc w:val="center"/>
              <w:ind w:left="1"/>
              <w:spacing w:after="0"/>
              <w:rPr>
                <w:sz w:val="20"/>
                <w:szCs w:val="20"/>
                <w:color w:val="auto"/>
              </w:rPr>
            </w:pPr>
            <w:r>
              <w:rPr>
                <w:rFonts w:ascii="Arial" w:cs="Arial" w:eastAsia="Arial" w:hAnsi="Arial"/>
                <w:sz w:val="12"/>
                <w:szCs w:val="12"/>
                <w:color w:val="auto"/>
                <w:w w:val="86"/>
              </w:rPr>
              <w:t>29.24</w:t>
            </w:r>
          </w:p>
        </w:tc>
        <w:tc>
          <w:tcPr>
            <w:tcW w:w="9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657,713</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20"/>
                <w:szCs w:val="20"/>
                <w:color w:val="auto"/>
              </w:rPr>
            </w:pPr>
            <w:r>
              <w:rPr>
                <w:rFonts w:ascii="Arial" w:cs="Arial" w:eastAsia="Arial" w:hAnsi="Arial"/>
                <w:sz w:val="12"/>
                <w:szCs w:val="12"/>
                <w:color w:val="auto"/>
              </w:rPr>
              <w:t>Daniel P. McGahn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64,350</w:t>
            </w:r>
          </w:p>
        </w:tc>
        <w:tc>
          <w:tcPr>
            <w:tcW w:w="1100" w:type="dxa"/>
            <w:vAlign w:val="bottom"/>
            <w:gridSpan w:val="3"/>
          </w:tcPr>
          <w:p>
            <w:pPr>
              <w:jc w:val="center"/>
              <w:ind w:left="343"/>
              <w:spacing w:after="0"/>
              <w:rPr>
                <w:sz w:val="20"/>
                <w:szCs w:val="20"/>
                <w:color w:val="auto"/>
              </w:rPr>
            </w:pPr>
            <w:r>
              <w:rPr>
                <w:rFonts w:ascii="Arial" w:cs="Arial" w:eastAsia="Arial" w:hAnsi="Arial"/>
                <w:sz w:val="12"/>
                <w:szCs w:val="12"/>
                <w:color w:val="auto"/>
                <w:w w:val="87"/>
              </w:rPr>
              <w:t>214,500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63"/>
              <w:spacing w:after="0"/>
              <w:rPr>
                <w:sz w:val="20"/>
                <w:szCs w:val="20"/>
                <w:color w:val="auto"/>
              </w:rPr>
            </w:pPr>
            <w:r>
              <w:rPr>
                <w:rFonts w:ascii="Arial" w:cs="Arial" w:eastAsia="Arial" w:hAnsi="Arial"/>
                <w:sz w:val="12"/>
                <w:szCs w:val="12"/>
                <w:color w:val="auto"/>
                <w:w w:val="92"/>
              </w:rPr>
              <w:t>334,620</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David A. Henry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44,250</w:t>
            </w:r>
          </w:p>
        </w:tc>
        <w:tc>
          <w:tcPr>
            <w:tcW w:w="1100" w:type="dxa"/>
            <w:vAlign w:val="bottom"/>
            <w:gridSpan w:val="3"/>
            <w:shd w:val="clear" w:color="auto" w:fill="CCEEFF"/>
          </w:tcPr>
          <w:p>
            <w:pPr>
              <w:jc w:val="center"/>
              <w:ind w:left="343"/>
              <w:spacing w:after="0"/>
              <w:rPr>
                <w:sz w:val="20"/>
                <w:szCs w:val="20"/>
                <w:color w:val="auto"/>
              </w:rPr>
            </w:pPr>
            <w:r>
              <w:rPr>
                <w:rFonts w:ascii="Arial" w:cs="Arial" w:eastAsia="Arial" w:hAnsi="Arial"/>
                <w:sz w:val="12"/>
                <w:szCs w:val="12"/>
                <w:color w:val="auto"/>
                <w:w w:val="87"/>
              </w:rPr>
              <w:t>147,500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63"/>
              <w:spacing w:after="0"/>
              <w:rPr>
                <w:sz w:val="20"/>
                <w:szCs w:val="20"/>
                <w:color w:val="auto"/>
              </w:rPr>
            </w:pPr>
            <w:r>
              <w:rPr>
                <w:rFonts w:ascii="Arial" w:cs="Arial" w:eastAsia="Arial" w:hAnsi="Arial"/>
                <w:sz w:val="12"/>
                <w:szCs w:val="12"/>
                <w:color w:val="auto"/>
                <w:w w:val="92"/>
              </w:rPr>
              <w:t>230,100</w:t>
            </w:r>
          </w:p>
        </w:tc>
        <w:tc>
          <w:tcPr>
            <w:tcW w:w="8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2"/>
                <w:szCs w:val="12"/>
                <w:color w:val="auto"/>
              </w:rPr>
              <w:t>9,000(5)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2"/>
                <w:szCs w:val="12"/>
                <w:color w:val="auto"/>
                <w:w w:val="87"/>
              </w:rPr>
              <w:t>263,160</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2"/>
                <w:szCs w:val="12"/>
                <w:color w:val="auto"/>
              </w:rPr>
              <w:t>15,000</w:t>
            </w:r>
          </w:p>
        </w:tc>
        <w:tc>
          <w:tcPr>
            <w:tcW w:w="720" w:type="dxa"/>
            <w:vAlign w:val="bottom"/>
            <w:gridSpan w:val="2"/>
            <w:shd w:val="clear" w:color="auto" w:fill="CCEEFF"/>
          </w:tcPr>
          <w:p>
            <w:pPr>
              <w:jc w:val="center"/>
              <w:ind w:left="1"/>
              <w:spacing w:after="0"/>
              <w:rPr>
                <w:sz w:val="20"/>
                <w:szCs w:val="20"/>
                <w:color w:val="auto"/>
              </w:rPr>
            </w:pPr>
            <w:r>
              <w:rPr>
                <w:rFonts w:ascii="Arial" w:cs="Arial" w:eastAsia="Arial" w:hAnsi="Arial"/>
                <w:sz w:val="12"/>
                <w:szCs w:val="12"/>
                <w:color w:val="auto"/>
                <w:w w:val="86"/>
              </w:rPr>
              <w:t>29.24</w:t>
            </w:r>
          </w:p>
        </w:tc>
        <w:tc>
          <w:tcPr>
            <w:tcW w:w="9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274,047</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Arial" w:cs="Arial" w:eastAsia="Arial" w:hAnsi="Arial"/>
                <w:sz w:val="12"/>
                <w:szCs w:val="12"/>
                <w:color w:val="auto"/>
              </w:rPr>
              <w:t>John R. Collett</w:t>
            </w:r>
          </w:p>
        </w:tc>
        <w:tc>
          <w:tcPr>
            <w:tcW w:w="740" w:type="dxa"/>
            <w:vAlign w:val="bottom"/>
            <w:gridSpan w:val="2"/>
            <w:vMerge w:val="restart"/>
          </w:tcPr>
          <w:p>
            <w:pPr>
              <w:jc w:val="center"/>
              <w:ind w:left="41"/>
              <w:spacing w:after="0"/>
              <w:rPr>
                <w:sz w:val="20"/>
                <w:szCs w:val="20"/>
                <w:color w:val="auto"/>
              </w:rPr>
            </w:pPr>
            <w:r>
              <w:rPr>
                <w:rFonts w:ascii="Arial" w:cs="Arial" w:eastAsia="Arial" w:hAnsi="Arial"/>
                <w:sz w:val="12"/>
                <w:szCs w:val="12"/>
                <w:color w:val="auto"/>
                <w:w w:val="89"/>
              </w:rPr>
              <w:t>5/12/10</w:t>
            </w:r>
          </w:p>
        </w:tc>
        <w:tc>
          <w:tcPr>
            <w:tcW w:w="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37,500</w:t>
            </w:r>
          </w:p>
        </w:tc>
        <w:tc>
          <w:tcPr>
            <w:tcW w:w="1100" w:type="dxa"/>
            <w:vAlign w:val="bottom"/>
            <w:gridSpan w:val="3"/>
          </w:tcPr>
          <w:p>
            <w:pPr>
              <w:jc w:val="center"/>
              <w:ind w:left="343"/>
              <w:spacing w:after="0"/>
              <w:rPr>
                <w:sz w:val="20"/>
                <w:szCs w:val="20"/>
                <w:color w:val="auto"/>
              </w:rPr>
            </w:pPr>
            <w:r>
              <w:rPr>
                <w:rFonts w:ascii="Arial" w:cs="Arial" w:eastAsia="Arial" w:hAnsi="Arial"/>
                <w:sz w:val="12"/>
                <w:szCs w:val="12"/>
                <w:color w:val="auto"/>
                <w:w w:val="87"/>
              </w:rPr>
              <w:t>125,000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63"/>
              <w:spacing w:after="0"/>
              <w:rPr>
                <w:sz w:val="20"/>
                <w:szCs w:val="20"/>
                <w:color w:val="auto"/>
              </w:rPr>
            </w:pPr>
            <w:r>
              <w:rPr>
                <w:rFonts w:ascii="Arial" w:cs="Arial" w:eastAsia="Arial" w:hAnsi="Arial"/>
                <w:sz w:val="12"/>
                <w:szCs w:val="12"/>
                <w:color w:val="auto"/>
                <w:w w:val="92"/>
              </w:rPr>
              <w:t>195,000</w:t>
            </w: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2"/>
                <w:szCs w:val="12"/>
                <w:color w:val="auto"/>
              </w:rPr>
              <w:t>10,800(5)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vMerge w:val="restart"/>
          </w:tcPr>
          <w:p>
            <w:pPr>
              <w:jc w:val="center"/>
              <w:ind w:left="21"/>
              <w:spacing w:after="0"/>
              <w:rPr>
                <w:sz w:val="20"/>
                <w:szCs w:val="20"/>
                <w:color w:val="auto"/>
              </w:rPr>
            </w:pPr>
            <w:r>
              <w:rPr>
                <w:rFonts w:ascii="Arial" w:cs="Arial" w:eastAsia="Arial" w:hAnsi="Arial"/>
                <w:sz w:val="12"/>
                <w:szCs w:val="12"/>
                <w:color w:val="auto"/>
                <w:w w:val="87"/>
              </w:rPr>
              <w:t>315,792</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740" w:type="dxa"/>
            <w:vAlign w:val="bottom"/>
            <w:gridSpan w:val="2"/>
          </w:tcPr>
          <w:p>
            <w:pPr>
              <w:jc w:val="center"/>
              <w:ind w:left="41"/>
              <w:spacing w:after="0"/>
              <w:rPr>
                <w:sz w:val="20"/>
                <w:szCs w:val="20"/>
                <w:color w:val="auto"/>
              </w:rPr>
            </w:pPr>
            <w:r>
              <w:rPr>
                <w:rFonts w:ascii="Arial" w:cs="Arial" w:eastAsia="Arial" w:hAnsi="Arial"/>
                <w:sz w:val="12"/>
                <w:szCs w:val="12"/>
                <w:color w:val="auto"/>
                <w:w w:val="89"/>
              </w:rPr>
              <w:t>5/12/10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2"/>
                <w:szCs w:val="12"/>
                <w:color w:val="auto"/>
              </w:rPr>
              <w:t>18,000</w:t>
            </w:r>
          </w:p>
        </w:tc>
        <w:tc>
          <w:tcPr>
            <w:tcW w:w="720" w:type="dxa"/>
            <w:vAlign w:val="bottom"/>
            <w:gridSpan w:val="2"/>
          </w:tcPr>
          <w:p>
            <w:pPr>
              <w:jc w:val="center"/>
              <w:ind w:left="1"/>
              <w:spacing w:after="0"/>
              <w:rPr>
                <w:sz w:val="20"/>
                <w:szCs w:val="20"/>
                <w:color w:val="auto"/>
              </w:rPr>
            </w:pPr>
            <w:r>
              <w:rPr>
                <w:rFonts w:ascii="Arial" w:cs="Arial" w:eastAsia="Arial" w:hAnsi="Arial"/>
                <w:sz w:val="12"/>
                <w:szCs w:val="12"/>
                <w:color w:val="auto"/>
                <w:w w:val="86"/>
              </w:rPr>
              <w:t>29.24</w:t>
            </w:r>
          </w:p>
        </w:tc>
        <w:tc>
          <w:tcPr>
            <w:tcW w:w="9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328,856</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Charles W. Stankiewicz</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48,150</w:t>
            </w:r>
          </w:p>
        </w:tc>
        <w:tc>
          <w:tcPr>
            <w:tcW w:w="1100" w:type="dxa"/>
            <w:vAlign w:val="bottom"/>
            <w:gridSpan w:val="3"/>
            <w:shd w:val="clear" w:color="auto" w:fill="CCEEFF"/>
          </w:tcPr>
          <w:p>
            <w:pPr>
              <w:jc w:val="center"/>
              <w:ind w:left="343"/>
              <w:spacing w:after="0"/>
              <w:rPr>
                <w:sz w:val="20"/>
                <w:szCs w:val="20"/>
                <w:color w:val="auto"/>
              </w:rPr>
            </w:pPr>
            <w:r>
              <w:rPr>
                <w:rFonts w:ascii="Arial" w:cs="Arial" w:eastAsia="Arial" w:hAnsi="Arial"/>
                <w:sz w:val="12"/>
                <w:szCs w:val="12"/>
                <w:color w:val="auto"/>
                <w:w w:val="87"/>
              </w:rPr>
              <w:t>160,500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163"/>
              <w:spacing w:after="0"/>
              <w:rPr>
                <w:sz w:val="20"/>
                <w:szCs w:val="20"/>
                <w:color w:val="auto"/>
              </w:rPr>
            </w:pPr>
            <w:r>
              <w:rPr>
                <w:rFonts w:ascii="Arial" w:cs="Arial" w:eastAsia="Arial" w:hAnsi="Arial"/>
                <w:sz w:val="12"/>
                <w:szCs w:val="12"/>
                <w:color w:val="auto"/>
                <w:w w:val="92"/>
              </w:rPr>
              <w:t>250,380</w:t>
            </w:r>
          </w:p>
        </w:tc>
        <w:tc>
          <w:tcPr>
            <w:tcW w:w="8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2"/>
                <w:szCs w:val="12"/>
                <w:color w:val="auto"/>
              </w:rPr>
              <w:t>6,000(5)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2"/>
                <w:szCs w:val="12"/>
                <w:color w:val="auto"/>
                <w:w w:val="87"/>
              </w:rPr>
              <w:t>175,440</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5/12/10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2"/>
                <w:szCs w:val="12"/>
                <w:color w:val="auto"/>
              </w:rPr>
              <w:t>10,000</w:t>
            </w:r>
          </w:p>
        </w:tc>
        <w:tc>
          <w:tcPr>
            <w:tcW w:w="720" w:type="dxa"/>
            <w:vAlign w:val="bottom"/>
            <w:gridSpan w:val="2"/>
            <w:shd w:val="clear" w:color="auto" w:fill="CCEEFF"/>
          </w:tcPr>
          <w:p>
            <w:pPr>
              <w:jc w:val="center"/>
              <w:ind w:left="1"/>
              <w:spacing w:after="0"/>
              <w:rPr>
                <w:sz w:val="20"/>
                <w:szCs w:val="20"/>
                <w:color w:val="auto"/>
              </w:rPr>
            </w:pPr>
            <w:r>
              <w:rPr>
                <w:rFonts w:ascii="Arial" w:cs="Arial" w:eastAsia="Arial" w:hAnsi="Arial"/>
                <w:sz w:val="12"/>
                <w:szCs w:val="12"/>
                <w:color w:val="auto"/>
                <w:w w:val="86"/>
              </w:rPr>
              <w:t>29.24</w:t>
            </w:r>
          </w:p>
        </w:tc>
        <w:tc>
          <w:tcPr>
            <w:tcW w:w="9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182,698</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Arial" w:cs="Arial" w:eastAsia="Arial" w:hAnsi="Arial"/>
                <w:sz w:val="12"/>
                <w:szCs w:val="12"/>
                <w:color w:val="auto"/>
              </w:rPr>
              <w:t>Susan DiCecco</w:t>
            </w:r>
          </w:p>
        </w:tc>
        <w:tc>
          <w:tcPr>
            <w:tcW w:w="740" w:type="dxa"/>
            <w:vAlign w:val="bottom"/>
            <w:gridSpan w:val="2"/>
            <w:vMerge w:val="restart"/>
          </w:tcPr>
          <w:p>
            <w:pPr>
              <w:jc w:val="center"/>
              <w:ind w:left="41"/>
              <w:spacing w:after="0"/>
              <w:rPr>
                <w:sz w:val="20"/>
                <w:szCs w:val="20"/>
                <w:color w:val="auto"/>
              </w:rPr>
            </w:pPr>
            <w:r>
              <w:rPr>
                <w:rFonts w:ascii="Arial" w:cs="Arial" w:eastAsia="Arial" w:hAnsi="Arial"/>
                <w:sz w:val="12"/>
                <w:szCs w:val="12"/>
                <w:color w:val="auto"/>
                <w:w w:val="89"/>
              </w:rPr>
              <w:t>5/12/10</w:t>
            </w:r>
          </w:p>
        </w:tc>
        <w:tc>
          <w:tcPr>
            <w:tcW w:w="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31,050</w:t>
            </w:r>
          </w:p>
        </w:tc>
        <w:tc>
          <w:tcPr>
            <w:tcW w:w="1100" w:type="dxa"/>
            <w:vAlign w:val="bottom"/>
            <w:gridSpan w:val="3"/>
          </w:tcPr>
          <w:p>
            <w:pPr>
              <w:jc w:val="center"/>
              <w:ind w:left="343"/>
              <w:spacing w:after="0"/>
              <w:rPr>
                <w:sz w:val="20"/>
                <w:szCs w:val="20"/>
                <w:color w:val="auto"/>
              </w:rPr>
            </w:pPr>
            <w:r>
              <w:rPr>
                <w:rFonts w:ascii="Arial" w:cs="Arial" w:eastAsia="Arial" w:hAnsi="Arial"/>
                <w:sz w:val="12"/>
                <w:szCs w:val="12"/>
                <w:color w:val="auto"/>
                <w:w w:val="87"/>
              </w:rPr>
              <w:t>112,500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63"/>
              <w:spacing w:after="0"/>
              <w:rPr>
                <w:sz w:val="20"/>
                <w:szCs w:val="20"/>
                <w:color w:val="auto"/>
              </w:rPr>
            </w:pPr>
            <w:r>
              <w:rPr>
                <w:rFonts w:ascii="Arial" w:cs="Arial" w:eastAsia="Arial" w:hAnsi="Arial"/>
                <w:sz w:val="12"/>
                <w:szCs w:val="12"/>
                <w:color w:val="auto"/>
                <w:w w:val="92"/>
              </w:rPr>
              <w:t>161,460</w:t>
            </w: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2"/>
                <w:szCs w:val="12"/>
                <w:color w:val="auto"/>
              </w:rPr>
              <w:t>5,400(5)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vMerge w:val="restart"/>
          </w:tcPr>
          <w:p>
            <w:pPr>
              <w:jc w:val="center"/>
              <w:ind w:left="21"/>
              <w:spacing w:after="0"/>
              <w:rPr>
                <w:sz w:val="20"/>
                <w:szCs w:val="20"/>
                <w:color w:val="auto"/>
              </w:rPr>
            </w:pPr>
            <w:r>
              <w:rPr>
                <w:rFonts w:ascii="Arial" w:cs="Arial" w:eastAsia="Arial" w:hAnsi="Arial"/>
                <w:sz w:val="12"/>
                <w:szCs w:val="12"/>
                <w:color w:val="auto"/>
                <w:w w:val="87"/>
              </w:rPr>
              <w:t>157,896</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40" w:type="dxa"/>
            <w:vAlign w:val="bottom"/>
            <w:gridSpan w:val="2"/>
          </w:tcPr>
          <w:p>
            <w:pPr>
              <w:jc w:val="center"/>
              <w:ind w:left="41"/>
              <w:spacing w:after="0"/>
              <w:rPr>
                <w:sz w:val="20"/>
                <w:szCs w:val="20"/>
                <w:color w:val="auto"/>
              </w:rPr>
            </w:pPr>
            <w:r>
              <w:rPr>
                <w:rFonts w:ascii="Arial" w:cs="Arial" w:eastAsia="Arial" w:hAnsi="Arial"/>
                <w:sz w:val="12"/>
                <w:szCs w:val="12"/>
                <w:color w:val="auto"/>
                <w:w w:val="89"/>
              </w:rPr>
              <w:t>5/12/10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2"/>
                <w:szCs w:val="12"/>
                <w:color w:val="auto"/>
              </w:rPr>
              <w:t>9,000</w:t>
            </w:r>
          </w:p>
        </w:tc>
        <w:tc>
          <w:tcPr>
            <w:tcW w:w="720" w:type="dxa"/>
            <w:vAlign w:val="bottom"/>
            <w:gridSpan w:val="2"/>
          </w:tcPr>
          <w:p>
            <w:pPr>
              <w:jc w:val="center"/>
              <w:ind w:left="1"/>
              <w:spacing w:after="0"/>
              <w:rPr>
                <w:sz w:val="20"/>
                <w:szCs w:val="20"/>
                <w:color w:val="auto"/>
              </w:rPr>
            </w:pPr>
            <w:r>
              <w:rPr>
                <w:rFonts w:ascii="Arial" w:cs="Arial" w:eastAsia="Arial" w:hAnsi="Arial"/>
                <w:sz w:val="12"/>
                <w:szCs w:val="12"/>
                <w:color w:val="auto"/>
                <w:w w:val="86"/>
              </w:rPr>
              <w:t>29.24</w:t>
            </w:r>
          </w:p>
        </w:tc>
        <w:tc>
          <w:tcPr>
            <w:tcW w:w="9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164,428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-1525270</wp:posOffset>
            </wp:positionV>
            <wp:extent cx="1841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66040</wp:posOffset>
            </wp:positionV>
            <wp:extent cx="82359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jc w:val="both"/>
        <w:ind w:left="1000" w:hanging="259"/>
        <w:spacing w:after="0" w:line="264" w:lineRule="auto"/>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threshold, target and maximum cash bonus amounts under our executive incentive plan for fiscal 2010. See “Compensation Discussion and Analysis — Compensation Mix — Performance- Based Annual Cash Bonuses” above for a description of this plan. The amounts actually paid to the named executive officers under this plan are shown above in the Non-Equity Incentive Plan Compensation column of the Summary Compensation Table.</w:t>
      </w:r>
    </w:p>
    <w:p>
      <w:pPr>
        <w:spacing w:after="0" w:line="1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total minimum amount that would have been earned if the minimum targets for all of the annual metrics had been achieved.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total amount that would have been earned if the targeted annual metrics had been achieved.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total maximum amount that would have been earned if the maximum targets for all of the annual metrics had been achieved.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Restricted stock award vests in equal annual installments over a 3-year period.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Options vest in equal annual installments over a 3-year period.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Grant date fair value represents the FASB ASC Topic 718 value of the restricted stock award or option as of the grant date.</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Equity Awards at Fiscal Year-End Table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contains information regarding unexercised stock options and unvested restricted stock awards held by our named executive officers as of March 31, 2011.</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0"/>
                <w:szCs w:val="10"/>
                <w:b w:val="1"/>
                <w:bCs w:val="1"/>
                <w:color w:val="auto"/>
              </w:rPr>
              <w:t>Option Awards</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0"/>
                <w:szCs w:val="10"/>
                <w:b w:val="1"/>
                <w:bCs w:val="1"/>
                <w:color w:val="auto"/>
              </w:rPr>
              <w:t>Stock Awards</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Equity</w:t>
            </w: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Incentive</w:t>
            </w:r>
          </w:p>
        </w:tc>
        <w:tc>
          <w:tcPr>
            <w:tcW w:w="16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Market</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Plan</w:t>
            </w: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Awards:</w:t>
            </w:r>
          </w:p>
        </w:tc>
        <w:tc>
          <w:tcPr>
            <w:tcW w:w="16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Value of</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Securities</w:t>
            </w:r>
          </w:p>
        </w:tc>
        <w:tc>
          <w:tcPr>
            <w:tcW w:w="1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Securities</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Shares or</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Number of</w:t>
            </w:r>
          </w:p>
        </w:tc>
        <w:tc>
          <w:tcPr>
            <w:tcW w:w="16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Shares or</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9"/>
              </w:rPr>
              <w:t>Underlying</w:t>
            </w:r>
          </w:p>
        </w:tc>
        <w:tc>
          <w:tcPr>
            <w:tcW w:w="1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Underlying</w:t>
            </w:r>
          </w:p>
        </w:tc>
        <w:tc>
          <w:tcPr>
            <w:tcW w:w="16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Option</w:t>
            </w: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Units of</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Unearned</w:t>
            </w:r>
          </w:p>
        </w:tc>
        <w:tc>
          <w:tcPr>
            <w:tcW w:w="16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Units of</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4"/>
              </w:rPr>
              <w:t>Unexercised</w:t>
            </w:r>
          </w:p>
        </w:tc>
        <w:tc>
          <w:tcPr>
            <w:tcW w:w="1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Option</w:t>
            </w:r>
          </w:p>
        </w:tc>
        <w:tc>
          <w:tcPr>
            <w:tcW w:w="1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Stock That</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Shares That</w:t>
            </w:r>
          </w:p>
        </w:tc>
        <w:tc>
          <w:tcPr>
            <w:tcW w:w="16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Stock That</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jc w:val="center"/>
              <w:ind w:right="181"/>
              <w:spacing w:after="0" w:line="108" w:lineRule="exact"/>
              <w:rPr>
                <w:sz w:val="20"/>
                <w:szCs w:val="20"/>
                <w:color w:val="auto"/>
              </w:rPr>
            </w:pPr>
            <w:r>
              <w:rPr>
                <w:rFonts w:ascii="Arial" w:cs="Arial" w:eastAsia="Arial" w:hAnsi="Arial"/>
                <w:sz w:val="10"/>
                <w:szCs w:val="10"/>
                <w:b w:val="1"/>
                <w:bCs w:val="1"/>
                <w:color w:val="auto"/>
                <w:w w:val="95"/>
              </w:rPr>
              <w:t>Options</w:t>
            </w:r>
          </w:p>
        </w:tc>
        <w:tc>
          <w:tcPr>
            <w:tcW w:w="1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Options</w:t>
            </w:r>
          </w:p>
        </w:tc>
        <w:tc>
          <w:tcPr>
            <w:tcW w:w="16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Have Not</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Have Not</w:t>
            </w:r>
          </w:p>
        </w:tc>
        <w:tc>
          <w:tcPr>
            <w:tcW w:w="16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Have Not</w:t>
            </w: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000" w:type="dxa"/>
            <w:vAlign w:val="bottom"/>
            <w:gridSpan w:val="3"/>
          </w:tcPr>
          <w:p>
            <w:pPr>
              <w:jc w:val="center"/>
              <w:ind w:left="102"/>
              <w:spacing w:after="0"/>
              <w:rPr>
                <w:sz w:val="20"/>
                <w:szCs w:val="20"/>
                <w:color w:val="auto"/>
              </w:rPr>
            </w:pPr>
            <w:r>
              <w:rPr>
                <w:rFonts w:ascii="Arial" w:cs="Arial" w:eastAsia="Arial" w:hAnsi="Arial"/>
                <w:sz w:val="10"/>
                <w:szCs w:val="10"/>
                <w:b w:val="1"/>
                <w:bCs w:val="1"/>
                <w:color w:val="auto"/>
                <w:w w:val="97"/>
              </w:rPr>
              <w:t>(#)</w:t>
            </w:r>
          </w:p>
        </w:tc>
        <w:tc>
          <w:tcPr>
            <w:tcW w:w="1300" w:type="dxa"/>
            <w:vAlign w:val="bottom"/>
            <w:gridSpan w:val="2"/>
          </w:tcPr>
          <w:p>
            <w:pPr>
              <w:jc w:val="center"/>
              <w:ind w:left="121"/>
              <w:spacing w:after="0"/>
              <w:rPr>
                <w:sz w:val="20"/>
                <w:szCs w:val="20"/>
                <w:color w:val="auto"/>
              </w:rPr>
            </w:pPr>
            <w:r>
              <w:rPr>
                <w:rFonts w:ascii="Arial" w:cs="Arial" w:eastAsia="Arial" w:hAnsi="Arial"/>
                <w:sz w:val="10"/>
                <w:szCs w:val="10"/>
                <w:b w:val="1"/>
                <w:bCs w:val="1"/>
                <w:color w:val="auto"/>
                <w:w w:val="97"/>
              </w:rPr>
              <w:t>(#)</w:t>
            </w:r>
          </w:p>
        </w:tc>
        <w:tc>
          <w:tcPr>
            <w:tcW w:w="1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7"/>
              </w:rPr>
              <w:t>Price</w:t>
            </w:r>
          </w:p>
        </w:tc>
        <w:tc>
          <w:tcPr>
            <w:tcW w:w="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1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5"/>
              </w:rPr>
              <w:t>Vested</w:t>
            </w:r>
          </w:p>
        </w:tc>
        <w:tc>
          <w:tcPr>
            <w:tcW w:w="1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1"/>
              </w:rPr>
              <w:t>Vested</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5"/>
              </w:rPr>
              <w:t>Vested</w:t>
            </w:r>
          </w:p>
        </w:tc>
        <w:tc>
          <w:tcPr>
            <w:tcW w:w="0" w:type="dxa"/>
            <w:vAlign w:val="bottom"/>
          </w:tcPr>
          <w:p>
            <w:pPr>
              <w:spacing w:after="0"/>
              <w:rPr>
                <w:sz w:val="1"/>
                <w:szCs w:val="1"/>
                <w:color w:val="auto"/>
              </w:rPr>
            </w:pPr>
          </w:p>
        </w:tc>
      </w:tr>
      <w:tr>
        <w:trPr>
          <w:trHeight w:val="125"/>
        </w:trPr>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Exercisable</w:t>
            </w:r>
          </w:p>
        </w:tc>
        <w:tc>
          <w:tcPr>
            <w:tcW w:w="1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1"/>
              </w:rPr>
              <w:t>Unexercisable</w:t>
            </w:r>
          </w:p>
        </w:tc>
        <w:tc>
          <w:tcPr>
            <w:tcW w:w="800" w:type="dxa"/>
            <w:vAlign w:val="bottom"/>
            <w:gridSpan w:val="2"/>
          </w:tcPr>
          <w:p>
            <w:pPr>
              <w:jc w:val="center"/>
              <w:ind w:left="101"/>
              <w:spacing w:after="0"/>
              <w:rPr>
                <w:sz w:val="20"/>
                <w:szCs w:val="20"/>
                <w:color w:val="auto"/>
              </w:rPr>
            </w:pPr>
            <w:r>
              <w:rPr>
                <w:rFonts w:ascii="Arial" w:cs="Arial" w:eastAsia="Arial" w:hAnsi="Arial"/>
                <w:sz w:val="10"/>
                <w:szCs w:val="10"/>
                <w:b w:val="1"/>
                <w:bCs w:val="1"/>
                <w:color w:val="auto"/>
                <w:w w:val="97"/>
              </w:rPr>
              <w:t>($)</w:t>
            </w:r>
          </w:p>
        </w:tc>
        <w:tc>
          <w:tcPr>
            <w:tcW w:w="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2"/>
              </w:rPr>
              <w:t>Date</w:t>
            </w:r>
          </w:p>
        </w:tc>
        <w:tc>
          <w:tcPr>
            <w:tcW w:w="1020" w:type="dxa"/>
            <w:vAlign w:val="bottom"/>
            <w:gridSpan w:val="2"/>
          </w:tcPr>
          <w:p>
            <w:pPr>
              <w:jc w:val="center"/>
              <w:ind w:left="121"/>
              <w:spacing w:after="0"/>
              <w:rPr>
                <w:sz w:val="20"/>
                <w:szCs w:val="20"/>
                <w:color w:val="auto"/>
              </w:rPr>
            </w:pPr>
            <w:r>
              <w:rPr>
                <w:rFonts w:ascii="Arial" w:cs="Arial" w:eastAsia="Arial" w:hAnsi="Arial"/>
                <w:sz w:val="10"/>
                <w:szCs w:val="10"/>
                <w:b w:val="1"/>
                <w:bCs w:val="1"/>
                <w:color w:val="auto"/>
                <w:w w:val="97"/>
              </w:rPr>
              <w:t>(#)</w:t>
            </w:r>
          </w:p>
        </w:tc>
        <w:tc>
          <w:tcPr>
            <w:tcW w:w="1020" w:type="dxa"/>
            <w:vAlign w:val="bottom"/>
            <w:gridSpan w:val="2"/>
          </w:tcPr>
          <w:p>
            <w:pPr>
              <w:jc w:val="center"/>
              <w:ind w:left="124"/>
              <w:spacing w:after="0"/>
              <w:rPr>
                <w:sz w:val="20"/>
                <w:szCs w:val="20"/>
                <w:color w:val="auto"/>
              </w:rPr>
            </w:pPr>
            <w:r>
              <w:rPr>
                <w:rFonts w:ascii="Arial" w:cs="Arial" w:eastAsia="Arial" w:hAnsi="Arial"/>
                <w:sz w:val="10"/>
                <w:szCs w:val="10"/>
                <w:b w:val="1"/>
                <w:bCs w:val="1"/>
                <w:color w:val="auto"/>
                <w:w w:val="97"/>
              </w:rPr>
              <w:t>(#)</w:t>
            </w:r>
          </w:p>
        </w:tc>
        <w:tc>
          <w:tcPr>
            <w:tcW w:w="1120" w:type="dxa"/>
            <w:vAlign w:val="bottom"/>
            <w:gridSpan w:val="2"/>
          </w:tcPr>
          <w:p>
            <w:pPr>
              <w:jc w:val="center"/>
              <w:ind w:left="121"/>
              <w:spacing w:after="0"/>
              <w:rPr>
                <w:sz w:val="20"/>
                <w:szCs w:val="20"/>
                <w:color w:val="auto"/>
              </w:rPr>
            </w:pPr>
            <w:r>
              <w:rPr>
                <w:rFonts w:ascii="Arial" w:cs="Arial" w:eastAsia="Arial" w:hAnsi="Arial"/>
                <w:sz w:val="10"/>
                <w:szCs w:val="10"/>
                <w:b w:val="1"/>
                <w:bCs w:val="1"/>
                <w:color w:val="auto"/>
                <w:w w:val="99"/>
              </w:rPr>
              <w:t>($)(20)</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Gregory J. Yurek</w:t>
            </w:r>
          </w:p>
        </w:tc>
        <w:tc>
          <w:tcPr>
            <w:tcW w:w="1000" w:type="dxa"/>
            <w:vAlign w:val="bottom"/>
            <w:gridSpan w:val="3"/>
            <w:shd w:val="clear" w:color="auto" w:fill="CCEEFF"/>
          </w:tcPr>
          <w:p>
            <w:pPr>
              <w:jc w:val="right"/>
              <w:ind w:right="81"/>
              <w:spacing w:after="0"/>
              <w:rPr>
                <w:sz w:val="20"/>
                <w:szCs w:val="20"/>
                <w:color w:val="auto"/>
              </w:rPr>
            </w:pPr>
            <w:r>
              <w:rPr>
                <w:rFonts w:ascii="Arial" w:cs="Arial" w:eastAsia="Arial" w:hAnsi="Arial"/>
                <w:sz w:val="12"/>
                <w:szCs w:val="12"/>
                <w:color w:val="auto"/>
              </w:rPr>
              <w:t>12,298(1)</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12.80</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5/6/2014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2"/>
                <w:szCs w:val="12"/>
                <w:color w:val="auto"/>
              </w:rPr>
              <w:t>16,667(2)</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33,333(2)</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25.29</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5/12/2019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21,000(13)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522,270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50,000(15)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1,243,500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8,000(14)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198,960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36,000(3)</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29.24</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5/12/2020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Arial" w:cs="Arial" w:eastAsia="Arial" w:hAnsi="Arial"/>
                <w:sz w:val="12"/>
                <w:szCs w:val="12"/>
                <w:color w:val="auto"/>
              </w:rPr>
              <w:t>Daniel P. McGahn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w w:val="85"/>
              </w:rPr>
              <w:t>30,000(4)</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10,000(4)</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11.00</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12/11/2016</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000" w:type="dxa"/>
            <w:vAlign w:val="bottom"/>
            <w:gridSpan w:val="3"/>
          </w:tcPr>
          <w:p>
            <w:pPr>
              <w:jc w:val="right"/>
              <w:ind w:right="81"/>
              <w:spacing w:after="0"/>
              <w:rPr>
                <w:sz w:val="20"/>
                <w:szCs w:val="20"/>
                <w:color w:val="auto"/>
              </w:rPr>
            </w:pPr>
            <w:r>
              <w:rPr>
                <w:rFonts w:ascii="Arial" w:cs="Arial" w:eastAsia="Arial" w:hAnsi="Arial"/>
                <w:sz w:val="12"/>
                <w:szCs w:val="12"/>
                <w:color w:val="auto"/>
              </w:rPr>
              <w:t>25,500(5)</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14.55</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5/15/2017</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000" w:type="dxa"/>
            <w:vAlign w:val="bottom"/>
            <w:gridSpan w:val="3"/>
          </w:tcPr>
          <w:p>
            <w:pPr>
              <w:jc w:val="right"/>
              <w:ind w:right="81"/>
              <w:spacing w:after="0"/>
              <w:rPr>
                <w:sz w:val="20"/>
                <w:szCs w:val="20"/>
                <w:color w:val="auto"/>
              </w:rPr>
            </w:pPr>
            <w:r>
              <w:rPr>
                <w:rFonts w:ascii="Arial" w:cs="Arial" w:eastAsia="Arial" w:hAnsi="Arial"/>
                <w:sz w:val="12"/>
                <w:szCs w:val="12"/>
                <w:color w:val="auto"/>
              </w:rPr>
              <w:t>7,000(6)</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14,000(6)</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25.29</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5/12/2019</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2"/>
                <w:szCs w:val="12"/>
                <w:color w:val="auto"/>
              </w:rPr>
              <w:t>25,000(17)</w:t>
            </w: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621,750</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4,000(14)</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99,480</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25,000(15)</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621,750</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100,000(9)</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38.69</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12/11/2019</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David A. Henry</w:t>
            </w:r>
          </w:p>
        </w:tc>
        <w:tc>
          <w:tcPr>
            <w:tcW w:w="1000" w:type="dxa"/>
            <w:vAlign w:val="bottom"/>
            <w:gridSpan w:val="3"/>
            <w:shd w:val="clear" w:color="auto" w:fill="CCEEFF"/>
          </w:tcPr>
          <w:p>
            <w:pPr>
              <w:jc w:val="right"/>
              <w:ind w:right="81"/>
              <w:spacing w:after="0"/>
              <w:rPr>
                <w:sz w:val="20"/>
                <w:szCs w:val="20"/>
                <w:color w:val="auto"/>
              </w:rPr>
            </w:pPr>
            <w:r>
              <w:rPr>
                <w:rFonts w:ascii="Arial" w:cs="Arial" w:eastAsia="Arial" w:hAnsi="Arial"/>
                <w:sz w:val="12"/>
                <w:szCs w:val="12"/>
                <w:color w:val="auto"/>
              </w:rPr>
              <w:t>80,000(7)</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21.87</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7/9/2017</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2"/>
                <w:szCs w:val="12"/>
                <w:color w:val="auto"/>
              </w:rPr>
              <w:t>7,000(6)</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14,000(6)</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25.29</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5/12/2019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20,000(15)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497,400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3,400(14)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84,558</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9,000(13)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223,830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15,000(3)</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29.24</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5/12/2020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20"/>
                <w:szCs w:val="20"/>
                <w:color w:val="auto"/>
              </w:rPr>
            </w:pPr>
            <w:r>
              <w:rPr>
                <w:rFonts w:ascii="Arial" w:cs="Arial" w:eastAsia="Arial" w:hAnsi="Arial"/>
                <w:sz w:val="12"/>
                <w:szCs w:val="12"/>
                <w:color w:val="auto"/>
              </w:rPr>
              <w:t>John R. Collett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vMerge w:val="restart"/>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2"/>
                <w:szCs w:val="12"/>
                <w:color w:val="auto"/>
              </w:rPr>
              <w:t>10,800(13)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vMerge w:val="restart"/>
          </w:tcPr>
          <w:p>
            <w:pPr>
              <w:jc w:val="right"/>
              <w:ind w:right="183"/>
              <w:spacing w:after="0"/>
              <w:rPr>
                <w:sz w:val="20"/>
                <w:szCs w:val="20"/>
                <w:color w:val="auto"/>
              </w:rPr>
            </w:pPr>
            <w:r>
              <w:rPr>
                <w:rFonts w:ascii="Arial" w:cs="Arial" w:eastAsia="Arial" w:hAnsi="Arial"/>
                <w:sz w:val="12"/>
                <w:szCs w:val="12"/>
                <w:color w:val="auto"/>
              </w:rPr>
              <w:t>268,596</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40,000(18)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994,800</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80,000(8)</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32.36</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10/19/2019</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18,000(3)</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29.24</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5/12/2020</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Charles W. Stankiewicz</w:t>
            </w:r>
          </w:p>
        </w:tc>
        <w:tc>
          <w:tcPr>
            <w:tcW w:w="1000" w:type="dxa"/>
            <w:vAlign w:val="bottom"/>
            <w:gridSpan w:val="3"/>
            <w:shd w:val="clear" w:color="auto" w:fill="CCEEFF"/>
          </w:tcPr>
          <w:p>
            <w:pPr>
              <w:jc w:val="right"/>
              <w:ind w:right="81"/>
              <w:spacing w:after="0"/>
              <w:rPr>
                <w:sz w:val="20"/>
                <w:szCs w:val="20"/>
                <w:color w:val="auto"/>
              </w:rPr>
            </w:pPr>
            <w:r>
              <w:rPr>
                <w:rFonts w:ascii="Arial" w:cs="Arial" w:eastAsia="Arial" w:hAnsi="Arial"/>
                <w:sz w:val="12"/>
                <w:szCs w:val="12"/>
                <w:color w:val="auto"/>
              </w:rPr>
              <w:t>80,000(5)</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14.55</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5/15/2017</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2"/>
                <w:szCs w:val="12"/>
                <w:color w:val="auto"/>
              </w:rPr>
              <w:t>7,000(2)</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14,000(2)</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25.29</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05/12/2019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35,000(15)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870,450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6,000(13)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149,220</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7,333(14)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182,372</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10,000(3)</w:t>
            </w:r>
          </w:p>
        </w:tc>
        <w:tc>
          <w:tcPr>
            <w:tcW w:w="80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color w:val="auto"/>
              </w:rPr>
              <w:t>29.24</w:t>
            </w:r>
          </w:p>
        </w:tc>
        <w:tc>
          <w:tcPr>
            <w:tcW w:w="1340" w:type="dxa"/>
            <w:vAlign w:val="bottom"/>
            <w:gridSpan w:val="2"/>
            <w:shd w:val="clear" w:color="auto" w:fill="CCEEFF"/>
          </w:tcPr>
          <w:p>
            <w:pPr>
              <w:jc w:val="right"/>
              <w:ind w:right="262"/>
              <w:spacing w:after="0"/>
              <w:rPr>
                <w:sz w:val="20"/>
                <w:szCs w:val="20"/>
                <w:color w:val="auto"/>
              </w:rPr>
            </w:pPr>
            <w:r>
              <w:rPr>
                <w:rFonts w:ascii="Arial" w:cs="Arial" w:eastAsia="Arial" w:hAnsi="Arial"/>
                <w:sz w:val="12"/>
                <w:szCs w:val="12"/>
                <w:color w:val="auto"/>
              </w:rPr>
              <w:t>5/12/2020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380" w:type="dxa"/>
            <w:vAlign w:val="bottom"/>
          </w:tcPr>
          <w:p>
            <w:pPr>
              <w:spacing w:after="0"/>
              <w:rPr>
                <w:sz w:val="20"/>
                <w:szCs w:val="20"/>
                <w:color w:val="auto"/>
              </w:rPr>
            </w:pPr>
            <w:r>
              <w:rPr>
                <w:rFonts w:ascii="Arial" w:cs="Arial" w:eastAsia="Arial" w:hAnsi="Arial"/>
                <w:sz w:val="12"/>
                <w:szCs w:val="12"/>
                <w:color w:val="auto"/>
              </w:rPr>
              <w:t>Susan J. DiCecco</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w w:val="97"/>
              </w:rPr>
              <w:t>1,200(10)</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3.44</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4/17/2013</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000" w:type="dxa"/>
            <w:vAlign w:val="bottom"/>
            <w:gridSpan w:val="3"/>
          </w:tcPr>
          <w:p>
            <w:pPr>
              <w:jc w:val="right"/>
              <w:ind w:right="21"/>
              <w:spacing w:after="0"/>
              <w:rPr>
                <w:sz w:val="20"/>
                <w:szCs w:val="20"/>
                <w:color w:val="auto"/>
              </w:rPr>
            </w:pPr>
            <w:r>
              <w:rPr>
                <w:rFonts w:ascii="Arial" w:cs="Arial" w:eastAsia="Arial" w:hAnsi="Arial"/>
                <w:sz w:val="12"/>
                <w:szCs w:val="12"/>
                <w:color w:val="auto"/>
              </w:rPr>
              <w:t>1,333(12)</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14.77</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4/26/2017</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000" w:type="dxa"/>
            <w:vAlign w:val="bottom"/>
            <w:gridSpan w:val="3"/>
          </w:tcPr>
          <w:p>
            <w:pPr>
              <w:jc w:val="right"/>
              <w:ind w:right="21"/>
              <w:spacing w:after="0"/>
              <w:rPr>
                <w:sz w:val="20"/>
                <w:szCs w:val="20"/>
                <w:color w:val="auto"/>
              </w:rPr>
            </w:pPr>
            <w:r>
              <w:rPr>
                <w:rFonts w:ascii="Arial" w:cs="Arial" w:eastAsia="Arial" w:hAnsi="Arial"/>
                <w:sz w:val="12"/>
                <w:szCs w:val="12"/>
                <w:color w:val="auto"/>
              </w:rPr>
              <w:t>4,000(11)</w:t>
            </w:r>
          </w:p>
        </w:tc>
        <w:tc>
          <w:tcPr>
            <w:tcW w:w="1300" w:type="dxa"/>
            <w:vAlign w:val="bottom"/>
            <w:gridSpan w:val="2"/>
          </w:tcPr>
          <w:p>
            <w:pPr>
              <w:jc w:val="right"/>
              <w:ind w:right="123"/>
              <w:spacing w:after="0"/>
              <w:rPr>
                <w:sz w:val="20"/>
                <w:szCs w:val="20"/>
                <w:color w:val="auto"/>
              </w:rPr>
            </w:pPr>
            <w:r>
              <w:rPr>
                <w:rFonts w:ascii="Arial" w:cs="Arial" w:eastAsia="Arial" w:hAnsi="Arial"/>
                <w:sz w:val="12"/>
                <w:szCs w:val="12"/>
                <w:color w:val="auto"/>
              </w:rPr>
              <w:t>8,000(11)</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25.50</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5/11/2019</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5,000(15)</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124,350</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5,400(13)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134,298</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ind w:right="3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2"/>
                <w:szCs w:val="12"/>
                <w:color w:val="auto"/>
              </w:rPr>
              <w:t>2,400(19)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right"/>
              <w:ind w:right="183"/>
              <w:spacing w:after="0"/>
              <w:rPr>
                <w:sz w:val="20"/>
                <w:szCs w:val="20"/>
                <w:color w:val="auto"/>
              </w:rPr>
            </w:pPr>
            <w:r>
              <w:rPr>
                <w:rFonts w:ascii="Arial" w:cs="Arial" w:eastAsia="Arial" w:hAnsi="Arial"/>
                <w:sz w:val="12"/>
                <w:szCs w:val="12"/>
                <w:color w:val="auto"/>
              </w:rPr>
              <w:t>59,688</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83"/>
              <w:spacing w:after="0"/>
              <w:rPr>
                <w:sz w:val="20"/>
                <w:szCs w:val="20"/>
                <w:color w:val="auto"/>
              </w:rPr>
            </w:pPr>
            <w:r>
              <w:rPr>
                <w:rFonts w:ascii="Arial" w:cs="Arial" w:eastAsia="Arial" w:hAnsi="Arial"/>
                <w:sz w:val="12"/>
                <w:szCs w:val="12"/>
                <w:color w:val="auto"/>
              </w:rPr>
              <w:t>9,000(3)</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29.24</w:t>
            </w:r>
          </w:p>
        </w:tc>
        <w:tc>
          <w:tcPr>
            <w:tcW w:w="1340" w:type="dxa"/>
            <w:vAlign w:val="bottom"/>
            <w:gridSpan w:val="2"/>
          </w:tcPr>
          <w:p>
            <w:pPr>
              <w:jc w:val="right"/>
              <w:ind w:right="262"/>
              <w:spacing w:after="0"/>
              <w:rPr>
                <w:sz w:val="20"/>
                <w:szCs w:val="20"/>
                <w:color w:val="auto"/>
              </w:rPr>
            </w:pPr>
            <w:r>
              <w:rPr>
                <w:rFonts w:ascii="Arial" w:cs="Arial" w:eastAsia="Arial" w:hAnsi="Arial"/>
                <w:sz w:val="12"/>
                <w:szCs w:val="12"/>
                <w:color w:val="auto"/>
              </w:rPr>
              <w:t>5/12/2020</w:t>
            </w:r>
          </w:p>
        </w:tc>
        <w:tc>
          <w:tcPr>
            <w:tcW w:w="180" w:type="dxa"/>
            <w:vAlign w:val="bottom"/>
          </w:tcPr>
          <w:p>
            <w:pPr>
              <w:spacing w:after="0"/>
              <w:rPr>
                <w:sz w:val="12"/>
                <w:szCs w:val="12"/>
                <w:color w:val="auto"/>
              </w:rPr>
            </w:pPr>
          </w:p>
        </w:tc>
        <w:tc>
          <w:tcPr>
            <w:tcW w:w="84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-3491230</wp:posOffset>
            </wp:positionV>
            <wp:extent cx="1841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66040</wp:posOffset>
            </wp:positionV>
            <wp:extent cx="8235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1080" w:hanging="241"/>
        <w:spacing w:after="0"/>
        <w:tabs>
          <w:tab w:leader="none" w:pos="10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These options were granted on May 6, 2004, vested in equal annual installments over a 3-year period, and were fully vested as of May 6, 2007.</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These options were granted on May 12, 2009, vest in equal annual installments over a 3-year period, and will be fully vested on May 12, 2012.</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May 12, 2010, vest in equal annual installments over a 3-year period, and will be fully vested on May 12, 2013.</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December 11, 2006, vest in equal annual installments over a 5-year period and will be fully vested on December 11, 2011.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May 15, 2007, vested in equal annual installments over a 3-year period, and were fully vested on May 5, 2010.</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May 12, 2009, vest in equal annual installments over a 3-year period, and will be fully vested on May 12, 2012.</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July 9, 2007 and were fully vested on July 9, 2010.</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October 19, 2009, and will be fully vested on October 19, 2014.</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December 11, 2009 and will be fully vested on December 11, 2014.</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April 17, 2003, vest in equal annual installments over a 5-year period and were fully vested on April 17, 2008.</w:t>
      </w:r>
    </w:p>
    <w:p>
      <w:pPr>
        <w:spacing w:after="0" w:line="47" w:lineRule="exact"/>
        <w:rPr>
          <w:rFonts w:ascii="Arial" w:cs="Arial" w:eastAsia="Arial" w:hAnsi="Arial"/>
          <w:sz w:val="13"/>
          <w:szCs w:val="13"/>
          <w:color w:val="auto"/>
        </w:rPr>
      </w:pPr>
    </w:p>
    <w:p>
      <w:pPr>
        <w:ind w:left="1080" w:hanging="302"/>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May 11, 2009, vest in equal annual installments over a 3-year period, and will be fully vested on May 11, 2012.</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granted on April 26, 2007, vested in equal annual installments over a 3-year period, and were fully vested on April 26, 2010.</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May 12, 2010, vest in equal annual installments over a 3-year period, and will be fully vested on May 12, 2013.</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May 12, 2009, vest in equal annual installments over a 3-year period, and will be fully vested on May 12, 2012.</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May 15, 2008 and were fully vested on May 15, 2011.</w:t>
      </w:r>
    </w:p>
    <w:p>
      <w:pPr>
        <w:spacing w:after="0" w:line="47" w:lineRule="exact"/>
        <w:rPr>
          <w:rFonts w:ascii="Arial" w:cs="Arial" w:eastAsia="Arial" w:hAnsi="Arial"/>
          <w:sz w:val="13"/>
          <w:szCs w:val="13"/>
          <w:color w:val="auto"/>
        </w:rPr>
      </w:pPr>
    </w:p>
    <w:p>
      <w:pPr>
        <w:ind w:left="1080" w:right="800" w:hanging="307"/>
        <w:spacing w:after="0" w:line="276" w:lineRule="auto"/>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July 9, 2007, and will vest as follows: 5,000 shares on 1st anniversary of grant date, 10,000 shares on 2nd anniversary of grant date, and 15,000 shares on 3rd anniversary of grant date.</w:t>
      </w:r>
    </w:p>
    <w:p>
      <w:pPr>
        <w:spacing w:after="0" w:line="10"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December 11, 2009, and will vest in total upon the achievement of targets consistent with our long-term business plan.</w:t>
      </w:r>
    </w:p>
    <w:p>
      <w:pPr>
        <w:spacing w:after="0" w:line="47" w:lineRule="exact"/>
        <w:rPr>
          <w:rFonts w:ascii="Arial" w:cs="Arial" w:eastAsia="Arial" w:hAnsi="Arial"/>
          <w:sz w:val="13"/>
          <w:szCs w:val="13"/>
          <w:color w:val="auto"/>
        </w:rPr>
      </w:pPr>
    </w:p>
    <w:p>
      <w:pPr>
        <w:ind w:left="1080" w:right="800" w:hanging="307"/>
        <w:spacing w:after="0" w:line="276" w:lineRule="auto"/>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October 19, 2009, and will vest as follows: 5,000 shares on October 19, 2012, 10,000 shares on October 19, 2013, and 25,000 shares on October 19, 2014.</w:t>
      </w:r>
    </w:p>
    <w:p>
      <w:pPr>
        <w:spacing w:after="0" w:line="10"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awards were granted on May 11, 2009, vest in equal annual installments over a 3-year period, and will be fully vested on May 11, 2012.</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$24.87 per share, the last sale price of our common stock on March 31, 2011.</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 Exercises and Stock Vested Table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contains information concerning the exercise of stock options and vesting of restricted stock awards for each named executive officer during fiscal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Option Awards</w:t>
            </w:r>
          </w:p>
        </w:tc>
        <w:tc>
          <w:tcPr>
            <w:tcW w:w="10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0"/>
                <w:szCs w:val="10"/>
                <w:b w:val="1"/>
                <w:bCs w:val="1"/>
                <w:color w:val="auto"/>
                <w:w w:val="96"/>
              </w:rPr>
              <w:t>Stock Awards</w:t>
            </w:r>
          </w:p>
        </w:tc>
        <w:tc>
          <w:tcPr>
            <w:tcW w:w="7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960" w:type="dxa"/>
            <w:vAlign w:val="bottom"/>
          </w:tcPr>
          <w:p>
            <w:pPr>
              <w:jc w:val="center"/>
              <w:ind w:left="140"/>
              <w:spacing w:after="0" w:line="81" w:lineRule="exact"/>
              <w:rPr>
                <w:sz w:val="20"/>
                <w:szCs w:val="20"/>
                <w:color w:val="auto"/>
              </w:rPr>
            </w:pPr>
            <w:r>
              <w:rPr>
                <w:rFonts w:ascii="Arial" w:cs="Arial" w:eastAsia="Arial" w:hAnsi="Arial"/>
                <w:sz w:val="9"/>
                <w:szCs w:val="9"/>
                <w:b w:val="1"/>
                <w:bCs w:val="1"/>
                <w:color w:val="auto"/>
              </w:rPr>
              <w:t>Number of</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vMerge w:val="restart"/>
          </w:tcPr>
          <w:p>
            <w:pPr>
              <w:jc w:val="center"/>
              <w:ind w:right="359"/>
              <w:spacing w:after="0"/>
              <w:rPr>
                <w:sz w:val="20"/>
                <w:szCs w:val="20"/>
                <w:color w:val="auto"/>
              </w:rPr>
            </w:pPr>
            <w:r>
              <w:rPr>
                <w:rFonts w:ascii="Arial" w:cs="Arial" w:eastAsia="Arial" w:hAnsi="Arial"/>
                <w:sz w:val="10"/>
                <w:szCs w:val="10"/>
                <w:b w:val="1"/>
                <w:bCs w:val="1"/>
                <w:color w:val="auto"/>
                <w:w w:val="97"/>
              </w:rPr>
              <w:t>Value</w:t>
            </w:r>
          </w:p>
        </w:tc>
        <w:tc>
          <w:tcPr>
            <w:tcW w:w="260" w:type="dxa"/>
            <w:vAlign w:val="bottom"/>
          </w:tcPr>
          <w:p>
            <w:pPr>
              <w:spacing w:after="0"/>
              <w:rPr>
                <w:sz w:val="7"/>
                <w:szCs w:val="7"/>
                <w:color w:val="auto"/>
              </w:rPr>
            </w:pPr>
          </w:p>
        </w:tc>
        <w:tc>
          <w:tcPr>
            <w:tcW w:w="880" w:type="dxa"/>
            <w:vAlign w:val="bottom"/>
          </w:tcPr>
          <w:p>
            <w:pPr>
              <w:jc w:val="center"/>
              <w:ind w:left="186"/>
              <w:spacing w:after="0" w:line="81" w:lineRule="exact"/>
              <w:rPr>
                <w:sz w:val="20"/>
                <w:szCs w:val="20"/>
                <w:color w:val="auto"/>
              </w:rPr>
            </w:pPr>
            <w:r>
              <w:rPr>
                <w:rFonts w:ascii="Arial" w:cs="Arial" w:eastAsia="Arial" w:hAnsi="Arial"/>
                <w:sz w:val="9"/>
                <w:szCs w:val="9"/>
                <w:b w:val="1"/>
                <w:bCs w:val="1"/>
                <w:color w:val="auto"/>
              </w:rPr>
              <w:t>Number of</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restart"/>
          </w:tcPr>
          <w:p>
            <w:pPr>
              <w:jc w:val="center"/>
              <w:ind w:right="276"/>
              <w:spacing w:after="0"/>
              <w:rPr>
                <w:sz w:val="20"/>
                <w:szCs w:val="20"/>
                <w:color w:val="auto"/>
              </w:rPr>
            </w:pPr>
            <w:r>
              <w:rPr>
                <w:rFonts w:ascii="Arial" w:cs="Arial" w:eastAsia="Arial" w:hAnsi="Arial"/>
                <w:sz w:val="10"/>
                <w:szCs w:val="10"/>
                <w:b w:val="1"/>
                <w:bCs w:val="1"/>
                <w:color w:val="auto"/>
                <w:w w:val="97"/>
              </w:rPr>
              <w:t>Value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60" w:type="dxa"/>
            <w:vAlign w:val="bottom"/>
          </w:tcPr>
          <w:p>
            <w:pPr>
              <w:jc w:val="center"/>
              <w:ind w:left="160"/>
              <w:spacing w:after="0" w:line="108" w:lineRule="exact"/>
              <w:rPr>
                <w:sz w:val="20"/>
                <w:szCs w:val="20"/>
                <w:color w:val="auto"/>
              </w:rPr>
            </w:pPr>
            <w:r>
              <w:rPr>
                <w:rFonts w:ascii="Arial" w:cs="Arial" w:eastAsia="Arial" w:hAnsi="Arial"/>
                <w:sz w:val="10"/>
                <w:szCs w:val="10"/>
                <w:b w:val="1"/>
                <w:bCs w:val="1"/>
                <w:color w:val="auto"/>
                <w:w w:val="89"/>
              </w:rPr>
              <w:t>Shares</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center"/>
              <w:ind w:left="166"/>
              <w:spacing w:after="0" w:line="108" w:lineRule="exact"/>
              <w:rPr>
                <w:sz w:val="20"/>
                <w:szCs w:val="20"/>
                <w:color w:val="auto"/>
              </w:rPr>
            </w:pPr>
            <w:r>
              <w:rPr>
                <w:rFonts w:ascii="Arial" w:cs="Arial" w:eastAsia="Arial" w:hAnsi="Arial"/>
                <w:sz w:val="10"/>
                <w:szCs w:val="10"/>
                <w:b w:val="1"/>
                <w:bCs w:val="1"/>
                <w:color w:val="auto"/>
                <w:w w:val="89"/>
              </w:rPr>
              <w:t>Shares</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960" w:type="dxa"/>
            <w:vAlign w:val="bottom"/>
          </w:tcPr>
          <w:p>
            <w:pPr>
              <w:jc w:val="center"/>
              <w:ind w:left="140"/>
              <w:spacing w:after="0"/>
              <w:rPr>
                <w:sz w:val="20"/>
                <w:szCs w:val="20"/>
                <w:color w:val="auto"/>
              </w:rPr>
            </w:pPr>
            <w:r>
              <w:rPr>
                <w:rFonts w:ascii="Arial" w:cs="Arial" w:eastAsia="Arial" w:hAnsi="Arial"/>
                <w:sz w:val="10"/>
                <w:szCs w:val="10"/>
                <w:b w:val="1"/>
                <w:bCs w:val="1"/>
                <w:color w:val="auto"/>
                <w:w w:val="95"/>
              </w:rPr>
              <w:t>Acquired on</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center"/>
              <w:ind w:right="339"/>
              <w:spacing w:after="0"/>
              <w:rPr>
                <w:sz w:val="20"/>
                <w:szCs w:val="20"/>
                <w:color w:val="auto"/>
              </w:rPr>
            </w:pPr>
            <w:r>
              <w:rPr>
                <w:rFonts w:ascii="Arial" w:cs="Arial" w:eastAsia="Arial" w:hAnsi="Arial"/>
                <w:sz w:val="10"/>
                <w:szCs w:val="10"/>
                <w:b w:val="1"/>
                <w:bCs w:val="1"/>
                <w:color w:val="auto"/>
                <w:w w:val="93"/>
              </w:rPr>
              <w:t>Realized on</w:t>
            </w:r>
          </w:p>
        </w:tc>
        <w:tc>
          <w:tcPr>
            <w:tcW w:w="260" w:type="dxa"/>
            <w:vAlign w:val="bottom"/>
          </w:tcPr>
          <w:p>
            <w:pPr>
              <w:spacing w:after="0"/>
              <w:rPr>
                <w:sz w:val="10"/>
                <w:szCs w:val="10"/>
                <w:color w:val="auto"/>
              </w:rPr>
            </w:pPr>
          </w:p>
        </w:tc>
        <w:tc>
          <w:tcPr>
            <w:tcW w:w="880" w:type="dxa"/>
            <w:vAlign w:val="bottom"/>
          </w:tcPr>
          <w:p>
            <w:pPr>
              <w:jc w:val="center"/>
              <w:ind w:left="186"/>
              <w:spacing w:after="0"/>
              <w:rPr>
                <w:sz w:val="20"/>
                <w:szCs w:val="20"/>
                <w:color w:val="auto"/>
              </w:rPr>
            </w:pPr>
            <w:r>
              <w:rPr>
                <w:rFonts w:ascii="Arial" w:cs="Arial" w:eastAsia="Arial" w:hAnsi="Arial"/>
                <w:sz w:val="10"/>
                <w:szCs w:val="10"/>
                <w:b w:val="1"/>
                <w:bCs w:val="1"/>
                <w:color w:val="auto"/>
                <w:w w:val="95"/>
              </w:rPr>
              <w:t>Acquired on</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Realized 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960" w:type="dxa"/>
            <w:vAlign w:val="bottom"/>
            <w:tcBorders>
              <w:bottom w:val="single" w:sz="8" w:color="auto"/>
            </w:tcBorders>
          </w:tcPr>
          <w:p>
            <w:pPr>
              <w:jc w:val="center"/>
              <w:ind w:left="140"/>
              <w:spacing w:after="0"/>
              <w:rPr>
                <w:sz w:val="20"/>
                <w:szCs w:val="20"/>
                <w:color w:val="auto"/>
              </w:rPr>
            </w:pPr>
            <w:r>
              <w:rPr>
                <w:rFonts w:ascii="Arial" w:cs="Arial" w:eastAsia="Arial" w:hAnsi="Arial"/>
                <w:sz w:val="10"/>
                <w:szCs w:val="10"/>
                <w:b w:val="1"/>
                <w:bCs w:val="1"/>
                <w:color w:val="auto"/>
                <w:w w:val="87"/>
              </w:rPr>
              <w:t>Exercise</w:t>
            </w:r>
          </w:p>
        </w:tc>
        <w:tc>
          <w:tcPr>
            <w:tcW w:w="2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359"/>
              <w:spacing w:after="0"/>
              <w:rPr>
                <w:sz w:val="20"/>
                <w:szCs w:val="20"/>
                <w:color w:val="auto"/>
              </w:rPr>
            </w:pPr>
            <w:r>
              <w:rPr>
                <w:rFonts w:ascii="Arial" w:cs="Arial" w:eastAsia="Arial" w:hAnsi="Arial"/>
                <w:sz w:val="10"/>
                <w:szCs w:val="10"/>
                <w:b w:val="1"/>
                <w:bCs w:val="1"/>
                <w:color w:val="auto"/>
                <w:w w:val="93"/>
              </w:rPr>
              <w:t>Exercise(1)</w:t>
            </w:r>
          </w:p>
        </w:tc>
        <w:tc>
          <w:tcPr>
            <w:tcW w:w="260" w:type="dxa"/>
            <w:vAlign w:val="bottom"/>
          </w:tcPr>
          <w:p>
            <w:pPr>
              <w:spacing w:after="0"/>
              <w:rPr>
                <w:sz w:val="10"/>
                <w:szCs w:val="10"/>
                <w:color w:val="auto"/>
              </w:rPr>
            </w:pPr>
          </w:p>
        </w:tc>
        <w:tc>
          <w:tcPr>
            <w:tcW w:w="880" w:type="dxa"/>
            <w:vAlign w:val="bottom"/>
            <w:tcBorders>
              <w:bottom w:val="single" w:sz="8" w:color="auto"/>
            </w:tcBorders>
          </w:tcPr>
          <w:p>
            <w:pPr>
              <w:jc w:val="center"/>
              <w:ind w:left="166"/>
              <w:spacing w:after="0"/>
              <w:rPr>
                <w:sz w:val="20"/>
                <w:szCs w:val="20"/>
                <w:color w:val="auto"/>
              </w:rPr>
            </w:pPr>
            <w:r>
              <w:rPr>
                <w:rFonts w:ascii="Arial" w:cs="Arial" w:eastAsia="Arial" w:hAnsi="Arial"/>
                <w:sz w:val="10"/>
                <w:szCs w:val="10"/>
                <w:b w:val="1"/>
                <w:bCs w:val="1"/>
                <w:color w:val="auto"/>
                <w:w w:val="93"/>
              </w:rPr>
              <w:t>Vesting</w:t>
            </w:r>
          </w:p>
        </w:tc>
        <w:tc>
          <w:tcPr>
            <w:tcW w:w="2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Vesting(2)</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390,394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w w:val="86"/>
              </w:rPr>
              <w:t>10,306,330</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4,000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9"/>
              </w:rPr>
              <w:t>116,960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Daniel P. McGahn</w:t>
            </w:r>
          </w:p>
        </w:tc>
        <w:tc>
          <w:tcPr>
            <w:tcW w:w="96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9"/>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6"/>
              <w:spacing w:after="0"/>
              <w:rPr>
                <w:sz w:val="20"/>
                <w:szCs w:val="20"/>
                <w:color w:val="auto"/>
              </w:rPr>
            </w:pPr>
            <w:r>
              <w:rPr>
                <w:rFonts w:ascii="Arial" w:cs="Arial" w:eastAsia="Arial" w:hAnsi="Arial"/>
                <w:sz w:val="13"/>
                <w:szCs w:val="13"/>
                <w:color w:val="auto"/>
              </w:rPr>
              <w:t>2,000</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6"/>
              <w:spacing w:after="0"/>
              <w:rPr>
                <w:sz w:val="20"/>
                <w:szCs w:val="20"/>
                <w:color w:val="auto"/>
              </w:rPr>
            </w:pPr>
            <w:r>
              <w:rPr>
                <w:rFonts w:ascii="Arial" w:cs="Arial" w:eastAsia="Arial" w:hAnsi="Arial"/>
                <w:sz w:val="13"/>
                <w:szCs w:val="13"/>
                <w:color w:val="auto"/>
              </w:rPr>
              <w:t>58,480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David A. Henry</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141,800</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16,700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9"/>
              </w:rPr>
              <w:t>478,558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John R. Collett</w:t>
            </w:r>
          </w:p>
        </w:tc>
        <w:tc>
          <w:tcPr>
            <w:tcW w:w="96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9"/>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3,667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9"/>
              </w:rPr>
              <w:t>107,223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Susan J. DiCecco</w:t>
            </w:r>
          </w:p>
        </w:tc>
        <w:tc>
          <w:tcPr>
            <w:tcW w:w="96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9"/>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6"/>
              <w:spacing w:after="0"/>
              <w:rPr>
                <w:sz w:val="20"/>
                <w:szCs w:val="20"/>
                <w:color w:val="auto"/>
              </w:rPr>
            </w:pPr>
            <w:r>
              <w:rPr>
                <w:rFonts w:ascii="Arial" w:cs="Arial" w:eastAsia="Arial" w:hAnsi="Arial"/>
                <w:sz w:val="13"/>
                <w:szCs w:val="13"/>
                <w:color w:val="auto"/>
              </w:rPr>
              <w:t>6,200</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6"/>
              <w:spacing w:after="0"/>
              <w:rPr>
                <w:sz w:val="20"/>
                <w:szCs w:val="20"/>
                <w:color w:val="auto"/>
              </w:rPr>
            </w:pPr>
            <w:r>
              <w:rPr>
                <w:rFonts w:ascii="Arial" w:cs="Arial" w:eastAsia="Arial" w:hAnsi="Arial"/>
                <w:sz w:val="13"/>
                <w:szCs w:val="13"/>
                <w:color w:val="auto"/>
                <w:w w:val="89"/>
              </w:rPr>
              <w:t>171,878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60" w:type="dxa"/>
            <w:vAlign w:val="bottom"/>
          </w:tcPr>
          <w:p>
            <w:pPr>
              <w:jc w:val="center"/>
              <w:ind w:left="140"/>
              <w:spacing w:after="0"/>
              <w:rPr>
                <w:sz w:val="20"/>
                <w:szCs w:val="20"/>
                <w:color w:val="auto"/>
              </w:rPr>
            </w:pPr>
            <w:r>
              <w:rPr>
                <w:rFonts w:ascii="Arial" w:cs="Arial" w:eastAsia="Arial" w:hAnsi="Arial"/>
                <w:sz w:val="13"/>
                <w:szCs w:val="13"/>
                <w:color w:val="auto"/>
                <w:w w:val="92"/>
              </w:rPr>
              <w:t>123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-1032510</wp:posOffset>
            </wp:positionV>
            <wp:extent cx="2476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Value realized on exercise is based on the closing sales price of our common stock on the NASDAQ Global Market on the date of exercise less the option exercise price.</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Value realized upon vesting is based on the closing sales price of our common stock on the NASDAQ Global Market on the vesting date.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 and Severance Agreements with Executive Officers</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We are party to severance agreements with each of our executive officers. Each severance agreement provides for certain severance benefits to the executive in the event that such executive’s employment is terminated:</w:t>
      </w:r>
    </w:p>
    <w:p>
      <w:pPr>
        <w:spacing w:after="0" w:line="59"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by us without “cause” in the absence of a “change in control” of the Company (as such terms are defined in the severance agreement);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by us without cause or by the executive for “good reason” (as defined in the severance agreement) following a change in control of the Company.</w:t>
      </w:r>
    </w:p>
    <w:p>
      <w:pPr>
        <w:spacing w:after="0" w:line="96" w:lineRule="exact"/>
        <w:rPr>
          <w:sz w:val="20"/>
          <w:szCs w:val="20"/>
          <w:color w:val="auto"/>
        </w:rPr>
      </w:pPr>
    </w:p>
    <w:p>
      <w:pPr>
        <w:jc w:val="both"/>
        <w:ind w:left="680" w:right="800" w:firstLine="399"/>
        <w:spacing w:after="0" w:line="320" w:lineRule="auto"/>
        <w:rPr>
          <w:sz w:val="20"/>
          <w:szCs w:val="20"/>
          <w:color w:val="auto"/>
        </w:rPr>
      </w:pPr>
      <w:r>
        <w:rPr>
          <w:rFonts w:ascii="Arial" w:cs="Arial" w:eastAsia="Arial" w:hAnsi="Arial"/>
          <w:sz w:val="12"/>
          <w:szCs w:val="12"/>
          <w:color w:val="auto"/>
        </w:rPr>
        <w:t>These benefits consist primarily of the continuation of the executive’s salary and employee benefits for a specified period of time following employment termination. These periods are as follows: Dr. Yurek — 36 months; Mr. McGahn — 24 months; Mr. Henry — 18 months; Mr. Collett — 18 months; Mr. Stankiewicz — 18 months; and Ms. DiCecco — 12 months.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stock options and restricted stock awards we grant to our executive officers provide for full acceleration of vesting upon a change in control of our company.</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following table describes the potential payments and benefits that would be received by the named executive officers pursuant to these severance agreements, assuming that a qualifying termination of employment occurred on March 31, 2011. Actual amounts payable to each executive listed below upon his employment termination can only be determined definitively at the time of an executive’s actual termination.</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right"/>
              <w:ind w:right="398"/>
              <w:spacing w:after="0"/>
              <w:rPr>
                <w:sz w:val="20"/>
                <w:szCs w:val="20"/>
                <w:color w:val="auto"/>
              </w:rPr>
            </w:pPr>
            <w:r>
              <w:rPr>
                <w:rFonts w:ascii="Arial" w:cs="Arial" w:eastAsia="Arial" w:hAnsi="Arial"/>
                <w:sz w:val="10"/>
                <w:szCs w:val="10"/>
                <w:b w:val="1"/>
                <w:bCs w:val="1"/>
                <w:color w:val="auto"/>
              </w:rPr>
              <w:t>Salary</w:t>
            </w:r>
          </w:p>
        </w:tc>
        <w:tc>
          <w:tcPr>
            <w:tcW w:w="280" w:type="dxa"/>
            <w:vAlign w:val="bottom"/>
          </w:tcPr>
          <w:p>
            <w:pPr>
              <w:spacing w:after="0"/>
              <w:rPr>
                <w:sz w:val="10"/>
                <w:szCs w:val="10"/>
                <w:color w:val="auto"/>
              </w:rPr>
            </w:pPr>
          </w:p>
        </w:tc>
        <w:tc>
          <w:tcPr>
            <w:tcW w:w="960" w:type="dxa"/>
            <w:vAlign w:val="bottom"/>
            <w:gridSpan w:val="2"/>
            <w:vMerge w:val="restart"/>
          </w:tcPr>
          <w:p>
            <w:pPr>
              <w:jc w:val="right"/>
              <w:ind w:right="194"/>
              <w:spacing w:after="0"/>
              <w:rPr>
                <w:sz w:val="20"/>
                <w:szCs w:val="20"/>
                <w:color w:val="auto"/>
              </w:rPr>
            </w:pPr>
            <w:r>
              <w:rPr>
                <w:rFonts w:ascii="Arial" w:cs="Arial" w:eastAsia="Arial" w:hAnsi="Arial"/>
                <w:sz w:val="10"/>
                <w:szCs w:val="10"/>
                <w:b w:val="1"/>
                <w:bCs w:val="1"/>
                <w:color w:val="auto"/>
              </w:rPr>
              <w:t>Employee</w:t>
            </w:r>
          </w:p>
        </w:tc>
        <w:tc>
          <w:tcPr>
            <w:tcW w:w="0" w:type="dxa"/>
            <w:vAlign w:val="bottom"/>
          </w:tcPr>
          <w:p>
            <w:pPr>
              <w:spacing w:after="0"/>
              <w:rPr>
                <w:sz w:val="1"/>
                <w:szCs w:val="1"/>
                <w:color w:val="auto"/>
              </w:rPr>
            </w:pPr>
          </w:p>
        </w:tc>
      </w:tr>
      <w:tr>
        <w:trPr>
          <w:trHeight w:val="118"/>
        </w:trPr>
        <w:tc>
          <w:tcPr>
            <w:tcW w:w="7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220" w:type="dxa"/>
            <w:vAlign w:val="bottom"/>
            <w:gridSpan w:val="2"/>
          </w:tcPr>
          <w:p>
            <w:pPr>
              <w:ind w:left="320"/>
              <w:spacing w:after="0"/>
              <w:rPr>
                <w:sz w:val="20"/>
                <w:szCs w:val="20"/>
                <w:color w:val="auto"/>
              </w:rPr>
            </w:pPr>
            <w:r>
              <w:rPr>
                <w:rFonts w:ascii="Arial" w:cs="Arial" w:eastAsia="Arial" w:hAnsi="Arial"/>
                <w:sz w:val="10"/>
                <w:szCs w:val="10"/>
                <w:b w:val="1"/>
                <w:bCs w:val="1"/>
                <w:color w:val="auto"/>
              </w:rPr>
              <w:t>Continuation</w:t>
            </w:r>
          </w:p>
        </w:tc>
        <w:tc>
          <w:tcPr>
            <w:tcW w:w="2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5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right"/>
              <w:ind w:right="318"/>
              <w:spacing w:after="0"/>
              <w:rPr>
                <w:sz w:val="20"/>
                <w:szCs w:val="20"/>
                <w:color w:val="auto"/>
              </w:rPr>
            </w:pPr>
            <w:r>
              <w:rPr>
                <w:rFonts w:ascii="Arial" w:cs="Arial" w:eastAsia="Arial" w:hAnsi="Arial"/>
                <w:sz w:val="10"/>
                <w:szCs w:val="10"/>
                <w:b w:val="1"/>
                <w:bCs w:val="1"/>
                <w:color w:val="auto"/>
                <w:w w:val="88"/>
              </w:rPr>
              <w:t>Payments</w:t>
            </w:r>
          </w:p>
        </w:tc>
        <w:tc>
          <w:tcPr>
            <w:tcW w:w="28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10"/>
                <w:szCs w:val="10"/>
                <w:b w:val="1"/>
                <w:bCs w:val="1"/>
                <w:color w:val="auto"/>
              </w:rPr>
              <w:t>Benefits(1)</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4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400" w:type="dxa"/>
            <w:vAlign w:val="bottom"/>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20" w:type="dxa"/>
            <w:vAlign w:val="bottom"/>
            <w:gridSpan w:val="2"/>
          </w:tcPr>
          <w:p>
            <w:pPr>
              <w:spacing w:after="0"/>
              <w:rPr>
                <w:sz w:val="20"/>
                <w:szCs w:val="20"/>
                <w:color w:val="auto"/>
              </w:rPr>
            </w:pPr>
            <w:r>
              <w:rPr>
                <w:rFonts w:ascii="Arial" w:cs="Arial" w:eastAsia="Arial" w:hAnsi="Arial"/>
                <w:sz w:val="13"/>
                <w:szCs w:val="13"/>
                <w:color w:val="auto"/>
              </w:rPr>
              <w:t>Daniel P. McGahn</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18"/>
              <w:spacing w:after="0"/>
              <w:rPr>
                <w:sz w:val="20"/>
                <w:szCs w:val="20"/>
                <w:color w:val="auto"/>
              </w:rPr>
            </w:pPr>
            <w:r>
              <w:rPr>
                <w:rFonts w:ascii="Arial" w:cs="Arial" w:eastAsia="Arial" w:hAnsi="Arial"/>
                <w:sz w:val="13"/>
                <w:szCs w:val="13"/>
                <w:color w:val="auto"/>
                <w:w w:val="89"/>
              </w:rPr>
              <w:t>660,000</w:t>
            </w: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14"/>
              <w:spacing w:after="0"/>
              <w:rPr>
                <w:sz w:val="20"/>
                <w:szCs w:val="20"/>
                <w:color w:val="auto"/>
              </w:rPr>
            </w:pPr>
            <w:r>
              <w:rPr>
                <w:rFonts w:ascii="Arial" w:cs="Arial" w:eastAsia="Arial" w:hAnsi="Arial"/>
                <w:sz w:val="13"/>
                <w:szCs w:val="13"/>
                <w:color w:val="auto"/>
                <w:w w:val="90"/>
              </w:rPr>
              <w:t>43,328</w:t>
            </w:r>
          </w:p>
        </w:tc>
        <w:tc>
          <w:tcPr>
            <w:tcW w:w="0" w:type="dxa"/>
            <w:vAlign w:val="bottom"/>
          </w:tcPr>
          <w:p>
            <w:pPr>
              <w:spacing w:after="0"/>
              <w:rPr>
                <w:sz w:val="1"/>
                <w:szCs w:val="1"/>
                <w:color w:val="auto"/>
              </w:rPr>
            </w:pPr>
          </w:p>
        </w:tc>
      </w:tr>
      <w:tr>
        <w:trPr>
          <w:trHeight w:val="157"/>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A. Henry</w:t>
            </w:r>
          </w:p>
        </w:tc>
        <w:tc>
          <w:tcPr>
            <w:tcW w:w="400" w:type="dxa"/>
            <w:vAlign w:val="bottom"/>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w w:val="89"/>
              </w:rPr>
              <w:t>442,500</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90"/>
              </w:rPr>
              <w:t>28,080</w:t>
            </w:r>
          </w:p>
        </w:tc>
        <w:tc>
          <w:tcPr>
            <w:tcW w:w="0" w:type="dxa"/>
            <w:vAlign w:val="bottom"/>
          </w:tcPr>
          <w:p>
            <w:pPr>
              <w:spacing w:after="0"/>
              <w:rPr>
                <w:sz w:val="1"/>
                <w:szCs w:val="1"/>
                <w:color w:val="auto"/>
              </w:rPr>
            </w:pPr>
          </w:p>
        </w:tc>
      </w:tr>
      <w:tr>
        <w:trPr>
          <w:trHeight w:val="157"/>
        </w:trPr>
        <w:tc>
          <w:tcPr>
            <w:tcW w:w="7520" w:type="dxa"/>
            <w:vAlign w:val="bottom"/>
            <w:gridSpan w:val="2"/>
          </w:tcPr>
          <w:p>
            <w:pPr>
              <w:spacing w:after="0"/>
              <w:rPr>
                <w:sz w:val="20"/>
                <w:szCs w:val="20"/>
                <w:color w:val="auto"/>
              </w:rPr>
            </w:pPr>
            <w:r>
              <w:rPr>
                <w:rFonts w:ascii="Arial" w:cs="Arial" w:eastAsia="Arial" w:hAnsi="Arial"/>
                <w:sz w:val="13"/>
                <w:szCs w:val="13"/>
                <w:color w:val="auto"/>
              </w:rPr>
              <w:t>John R. Collett</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400" w:type="dxa"/>
            <w:vAlign w:val="bottom"/>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520" w:type="dxa"/>
            <w:vAlign w:val="bottom"/>
            <w:gridSpan w:val="2"/>
          </w:tcPr>
          <w:p>
            <w:pPr>
              <w:spacing w:after="0"/>
              <w:rPr>
                <w:sz w:val="20"/>
                <w:szCs w:val="20"/>
                <w:color w:val="auto"/>
              </w:rPr>
            </w:pPr>
            <w:r>
              <w:rPr>
                <w:rFonts w:ascii="Arial" w:cs="Arial" w:eastAsia="Arial" w:hAnsi="Arial"/>
                <w:sz w:val="13"/>
                <w:szCs w:val="13"/>
                <w:color w:val="auto"/>
              </w:rPr>
              <w:t>Susan J. DiCecco</w:t>
            </w: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18"/>
              <w:spacing w:after="0"/>
              <w:rPr>
                <w:sz w:val="20"/>
                <w:szCs w:val="20"/>
                <w:color w:val="auto"/>
              </w:rPr>
            </w:pPr>
            <w:r>
              <w:rPr>
                <w:rFonts w:ascii="Arial" w:cs="Arial" w:eastAsia="Arial" w:hAnsi="Arial"/>
                <w:sz w:val="13"/>
                <w:szCs w:val="13"/>
                <w:color w:val="auto"/>
                <w:w w:val="89"/>
              </w:rPr>
              <w:t>225,000</w:t>
            </w: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14"/>
              <w:spacing w:after="0"/>
              <w:rPr>
                <w:sz w:val="20"/>
                <w:szCs w:val="20"/>
                <w:color w:val="auto"/>
              </w:rPr>
            </w:pPr>
            <w:r>
              <w:rPr>
                <w:rFonts w:ascii="Arial" w:cs="Arial" w:eastAsia="Arial" w:hAnsi="Arial"/>
                <w:sz w:val="13"/>
                <w:szCs w:val="13"/>
                <w:color w:val="auto"/>
                <w:w w:val="90"/>
              </w:rPr>
              <w:t>17,356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51435</wp:posOffset>
            </wp:positionV>
            <wp:extent cx="82359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Calculated based on the estimated cost to us of providing these benefits at March 31, 2011.</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following table describes the value to the named executive officers pursuant to the acceleration-of-vesting provisions in his restricted stock and option awards and/or severance agreements, assuming that a change in control of the Company occurred on March 31, 2011. The actual value of such acceleration to each executive listed below can only be determined definitively at the time of an executive’s actual termination.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580" w:type="dxa"/>
            <w:vAlign w:val="bottom"/>
            <w:gridSpan w:val="2"/>
            <w:vMerge w:val="restart"/>
          </w:tcPr>
          <w:p>
            <w:pPr>
              <w:jc w:val="right"/>
              <w:ind w:right="374"/>
              <w:spacing w:after="0"/>
              <w:rPr>
                <w:sz w:val="20"/>
                <w:szCs w:val="20"/>
                <w:color w:val="auto"/>
              </w:rPr>
            </w:pPr>
            <w:r>
              <w:rPr>
                <w:rFonts w:ascii="Arial" w:cs="Arial" w:eastAsia="Arial" w:hAnsi="Arial"/>
                <w:sz w:val="10"/>
                <w:szCs w:val="10"/>
                <w:b w:val="1"/>
                <w:bCs w:val="1"/>
                <w:color w:val="auto"/>
              </w:rPr>
              <w:t>Value of Option</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jc w:val="right"/>
              <w:ind w:right="576"/>
              <w:spacing w:after="0"/>
              <w:rPr>
                <w:sz w:val="20"/>
                <w:szCs w:val="20"/>
                <w:color w:val="auto"/>
              </w:rPr>
            </w:pPr>
            <w:r>
              <w:rPr>
                <w:rFonts w:ascii="Arial" w:cs="Arial" w:eastAsia="Arial" w:hAnsi="Arial"/>
                <w:sz w:val="10"/>
                <w:szCs w:val="10"/>
                <w:b w:val="1"/>
                <w:bCs w:val="1"/>
                <w:color w:val="auto"/>
              </w:rPr>
              <w:t>Value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3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2"/>
          </w:tcPr>
          <w:p>
            <w:pPr>
              <w:jc w:val="right"/>
              <w:ind w:right="396"/>
              <w:spacing w:after="0"/>
              <w:rPr>
                <w:sz w:val="20"/>
                <w:szCs w:val="20"/>
                <w:color w:val="auto"/>
              </w:rPr>
            </w:pPr>
            <w:r>
              <w:rPr>
                <w:rFonts w:ascii="Arial" w:cs="Arial" w:eastAsia="Arial" w:hAnsi="Arial"/>
                <w:sz w:val="10"/>
                <w:szCs w:val="10"/>
                <w:b w:val="1"/>
                <w:bCs w:val="1"/>
                <w:color w:val="auto"/>
              </w:rPr>
              <w:t>Restricted 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80" w:type="dxa"/>
            <w:vAlign w:val="bottom"/>
            <w:gridSpan w:val="2"/>
            <w:vMerge w:val="continue"/>
          </w:tcPr>
          <w:p>
            <w:pPr>
              <w:spacing w:after="0"/>
              <w:rPr>
                <w:sz w:val="10"/>
                <w:szCs w:val="10"/>
                <w:color w:val="auto"/>
              </w:rPr>
            </w:pPr>
          </w:p>
        </w:tc>
        <w:tc>
          <w:tcPr>
            <w:tcW w:w="3380" w:type="dxa"/>
            <w:vAlign w:val="bottom"/>
          </w:tcPr>
          <w:p>
            <w:pPr>
              <w:spacing w:after="0"/>
              <w:rPr>
                <w:sz w:val="10"/>
                <w:szCs w:val="10"/>
                <w:color w:val="auto"/>
              </w:rPr>
            </w:pPr>
          </w:p>
        </w:tc>
        <w:tc>
          <w:tcPr>
            <w:tcW w:w="1580" w:type="dxa"/>
            <w:vAlign w:val="bottom"/>
            <w:gridSpan w:val="2"/>
          </w:tcPr>
          <w:p>
            <w:pPr>
              <w:jc w:val="right"/>
              <w:ind w:right="374"/>
              <w:spacing w:after="0"/>
              <w:rPr>
                <w:sz w:val="20"/>
                <w:szCs w:val="20"/>
                <w:color w:val="auto"/>
              </w:rPr>
            </w:pPr>
            <w:r>
              <w:rPr>
                <w:rFonts w:ascii="Arial" w:cs="Arial" w:eastAsia="Arial" w:hAnsi="Arial"/>
                <w:sz w:val="10"/>
                <w:szCs w:val="10"/>
                <w:b w:val="1"/>
                <w:bCs w:val="1"/>
                <w:color w:val="auto"/>
              </w:rPr>
              <w:t>Acceleration(1)</w:t>
            </w:r>
          </w:p>
        </w:tc>
        <w:tc>
          <w:tcPr>
            <w:tcW w:w="280" w:type="dxa"/>
            <w:vAlign w:val="bottom"/>
          </w:tcPr>
          <w:p>
            <w:pPr>
              <w:spacing w:after="0"/>
              <w:rPr>
                <w:sz w:val="10"/>
                <w:szCs w:val="10"/>
                <w:color w:val="auto"/>
              </w:rPr>
            </w:pPr>
          </w:p>
        </w:tc>
        <w:tc>
          <w:tcPr>
            <w:tcW w:w="1660" w:type="dxa"/>
            <w:vAlign w:val="bottom"/>
            <w:gridSpan w:val="2"/>
          </w:tcPr>
          <w:p>
            <w:pPr>
              <w:ind w:left="480"/>
              <w:spacing w:after="0"/>
              <w:rPr>
                <w:sz w:val="20"/>
                <w:szCs w:val="20"/>
                <w:color w:val="auto"/>
              </w:rPr>
            </w:pPr>
            <w:r>
              <w:rPr>
                <w:rFonts w:ascii="Arial" w:cs="Arial" w:eastAsia="Arial" w:hAnsi="Arial"/>
                <w:sz w:val="10"/>
                <w:szCs w:val="10"/>
                <w:b w:val="1"/>
                <w:bCs w:val="1"/>
                <w:color w:val="auto"/>
              </w:rPr>
              <w:t>Acceleration(2)</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Daniel P. McGahn</w:t>
            </w:r>
          </w:p>
        </w:tc>
        <w:tc>
          <w:tcPr>
            <w:tcW w:w="3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14"/>
              <w:spacing w:after="0"/>
              <w:rPr>
                <w:sz w:val="20"/>
                <w:szCs w:val="20"/>
                <w:color w:val="auto"/>
              </w:rPr>
            </w:pPr>
            <w:r>
              <w:rPr>
                <w:rFonts w:ascii="Arial" w:cs="Arial" w:eastAsia="Arial" w:hAnsi="Arial"/>
                <w:sz w:val="13"/>
                <w:szCs w:val="13"/>
                <w:color w:val="auto"/>
                <w:w w:val="85"/>
              </w:rPr>
              <w:t>138,700</w:t>
            </w:r>
          </w:p>
        </w:tc>
        <w:tc>
          <w:tcPr>
            <w:tcW w:w="840" w:type="dxa"/>
            <w:vAlign w:val="bottom"/>
            <w:gridSpan w:val="2"/>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96"/>
              <w:spacing w:after="0"/>
              <w:rPr>
                <w:sz w:val="20"/>
                <w:szCs w:val="20"/>
                <w:color w:val="auto"/>
              </w:rPr>
            </w:pPr>
            <w:r>
              <w:rPr>
                <w:rFonts w:ascii="Arial" w:cs="Arial" w:eastAsia="Arial" w:hAnsi="Arial"/>
                <w:sz w:val="13"/>
                <w:szCs w:val="13"/>
                <w:color w:val="auto"/>
                <w:w w:val="89"/>
              </w:rPr>
              <w:t>1,342,980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A. Henry</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805,788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John R. Collett</w:t>
            </w:r>
          </w:p>
        </w:tc>
        <w:tc>
          <w:tcPr>
            <w:tcW w:w="3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14"/>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Susan J. DiCecco</w:t>
            </w:r>
          </w:p>
        </w:tc>
        <w:tc>
          <w:tcPr>
            <w:tcW w:w="3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14"/>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78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96"/>
              <w:spacing w:after="0"/>
              <w:rPr>
                <w:sz w:val="20"/>
                <w:szCs w:val="20"/>
                <w:color w:val="auto"/>
              </w:rPr>
            </w:pPr>
            <w:r>
              <w:rPr>
                <w:rFonts w:ascii="Arial" w:cs="Arial" w:eastAsia="Arial" w:hAnsi="Arial"/>
                <w:sz w:val="13"/>
                <w:szCs w:val="13"/>
                <w:color w:val="auto"/>
              </w:rPr>
              <w:t>318,336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80" w:type="dxa"/>
            <w:vAlign w:val="bottom"/>
          </w:tcPr>
          <w:p>
            <w:pPr>
              <w:jc w:val="right"/>
              <w:ind w:right="1294"/>
              <w:spacing w:after="0"/>
              <w:rPr>
                <w:sz w:val="20"/>
                <w:szCs w:val="20"/>
                <w:color w:val="auto"/>
              </w:rPr>
            </w:pPr>
            <w:r>
              <w:rPr>
                <w:rFonts w:ascii="Arial" w:cs="Arial" w:eastAsia="Arial" w:hAnsi="Arial"/>
                <w:sz w:val="13"/>
                <w:szCs w:val="13"/>
                <w:color w:val="auto"/>
              </w:rPr>
              <w:t>124</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76"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the number of option shares that would accelerate, multiplied by the excess of $24.87 per share (the last sale price of American Superconductor common stock on March 31, 2011) over the exercise price of the option.</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the number of shares of restricted stock that would accelerate, multiplied by the excess of $24.87 per share over the grant price of the restricted stock.</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On May 23, 2011, our company entered into a retirement and services agreement with Dr. Yurek pursuant to which effective June 1, 2011, Dr. Yurek resigned as chief executive officer and agreed to serve as a senior advisor to our company for up to 24 months. The agreement includes a general release of claims and customary non-compete and non-solicit covenants for the three-year period ending May 31, 2014. Pursuant to this agreement, Dr. Yurek is entitled to receive the following payments and benefits: (i) a total of $2.0 million in cash, of which $83,333 is payable on the final day of each month from June 2011 to August 2012, $50,000 is payable on the final day of September 2012, and $50,000 is payable on the final day of each month from April 2013 to May 2014; and (ii) continued group medical, dental and vision insurance coverage through May 31, 2014.</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July 26, 2011, our company entered into a severance agreement with Mr. Collett pursuant to which Mr. Collett is entitled to receive the following payments and benefits:</w:t>
      </w:r>
    </w:p>
    <w:p>
      <w:pPr>
        <w:spacing w:after="0" w:line="27" w:lineRule="exact"/>
        <w:rPr>
          <w:sz w:val="20"/>
          <w:szCs w:val="20"/>
          <w:color w:val="auto"/>
        </w:rPr>
      </w:pPr>
    </w:p>
    <w:p>
      <w:pPr>
        <w:jc w:val="both"/>
        <w:ind w:left="680" w:firstLine="7"/>
        <w:spacing w:after="0" w:line="258" w:lineRule="auto"/>
        <w:tabs>
          <w:tab w:leader="none" w:pos="859" w:val="left"/>
        </w:tabs>
        <w:numPr>
          <w:ilvl w:val="0"/>
          <w:numId w:val="69"/>
        </w:numPr>
        <w:rPr>
          <w:rFonts w:ascii="Arial" w:cs="Arial" w:eastAsia="Arial" w:hAnsi="Arial"/>
          <w:sz w:val="13"/>
          <w:szCs w:val="13"/>
          <w:color w:val="auto"/>
        </w:rPr>
      </w:pPr>
      <w:r>
        <w:rPr>
          <w:rFonts w:ascii="Arial" w:cs="Arial" w:eastAsia="Arial" w:hAnsi="Arial"/>
          <w:sz w:val="13"/>
          <w:szCs w:val="13"/>
          <w:color w:val="auto"/>
        </w:rPr>
        <w:t>$375,000, less all applicable taxes and withholdings, as severance pay (an amount equivalent to eighteen (18) months of his then current base salary); (ii) accelerated vesting of 47,200 shares of restricted stock; and (iii) continued medical insurance coverage for so long as Mr. Collett is COBRA-eligible through the severance period. The agreement includes a general release of claims.</w:t>
      </w:r>
    </w:p>
    <w:p>
      <w:pPr>
        <w:spacing w:after="0" w:line="71" w:lineRule="exact"/>
        <w:rPr>
          <w:sz w:val="20"/>
          <w:szCs w:val="20"/>
          <w:color w:val="auto"/>
        </w:rPr>
      </w:pPr>
    </w:p>
    <w:p>
      <w:pPr>
        <w:jc w:val="both"/>
        <w:ind w:left="680" w:firstLine="399"/>
        <w:spacing w:after="0" w:line="316" w:lineRule="auto"/>
        <w:rPr>
          <w:sz w:val="20"/>
          <w:szCs w:val="20"/>
          <w:color w:val="auto"/>
        </w:rPr>
      </w:pPr>
      <w:r>
        <w:rPr>
          <w:rFonts w:ascii="Arial" w:cs="Arial" w:eastAsia="Arial" w:hAnsi="Arial"/>
          <w:sz w:val="11"/>
          <w:szCs w:val="11"/>
          <w:color w:val="auto"/>
        </w:rPr>
        <w:t>On September 12, 2011, our company entered into a severance agreement with Mr. Stankiewicz pursuant to which Mr. Stankiewicz is entitled to receive the following payments and benefits: (i) $717,500, less all applicable taxes and withholdings, as severance pay (an amount equivalent to eighteen (18) months of his then current base salary plus $200,000 of additional consideration); (ii) an extension of Mr. Stankiewicz’s period to exercise the 80,000 vested options granted to him on May 15, 2007 from until May 14, 2017; and (iii) continued medical insurance coverage through the severance period for so long is Mr. Stankiewicz is COBRA-eligible and does not become eligible for coverage under another group health plan maintained by a subsequent employer. The agreement includes a general release of claims and customary non-compete and non-solicit covenants for the one-year period ending August 31, 2012.</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Compensation Committee is responsible for reviewing and making recommendations to our Board with respect to the compensation paid to our non-employee directors.</w:t>
      </w:r>
    </w:p>
    <w:p>
      <w:pPr>
        <w:spacing w:after="0" w:line="108"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fiscal 2008, the Compensation Committee engaged Pearl Meyer &amp; Partners, independent outside compensation consultants, to assess the competitiveness of our director compensation and to provide recommendations with respect to both the levels and structure of compensation for our directors. Pearl Meyer &amp; Partners assessed the competitiveness of director compensation through comparisons with peer groups and surveys. In May 2009, based on the recommendations of Pearl Meyer &amp; Partners, the Compensation Committee recommended to our Board, and our Board approved, reductions to the equity awards granted to directors upon his or her initial election to our Board and annually following each Annual Meeting of Stockholders, effective immediately.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fiscal year, non-employee directors receive cash compensation as follows:</w:t>
      </w:r>
    </w:p>
    <w:p>
      <w:pPr>
        <w:spacing w:after="0" w:line="96" w:lineRule="exact"/>
        <w:rPr>
          <w:sz w:val="20"/>
          <w:szCs w:val="20"/>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non-employee director receives $20,000 as an annual cash retainer;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chairman of the Audit Committee, Compensation Committee, and Nominating and Corporate Governance Committee receive an additional annual cash retainer of $6,000, $4,000 and $3,000, respectively;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Lead Director receives an additional annual cash retainer of $4,000; and</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each non-employee director who attends an “in person” meeting of the Board or a committee of the Board receives $1,500 per meeting; and each non-employee director who participates in a teleconference meeting of the Board or a committee of the Board receives $1,000 per meeting.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2007 Director Stock Plan, non-employee directors are granted equity awards as follows:</w:t>
      </w:r>
    </w:p>
    <w:p>
      <w:pPr>
        <w:spacing w:after="0" w:line="96" w:lineRule="exact"/>
        <w:rPr>
          <w:sz w:val="20"/>
          <w:szCs w:val="20"/>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non-employee director is granted an option to purchase 10,000 shares of common stock upon his or her initial election to our Board;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non-employee director is granted (for no cash consideration) 3,000 fully-vested shares of common stock three business days following each Annual Meeting of the Stockholders, provided that such non-employee director had served as a director for at least one year.</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Each option granted under the 2007 Director Stock Plan has an exercise price equal to the fair market value of our common stock on the date of grant and becomes exercisable in equal annual installments over a two-year period. Those options become exercisable in full in the event of an acquisition of the Company. The term of each option granted under the 2007 Director Stock Plan is 10 years, provided that, in general, an option may be exercised only while the director continues to serve as a director or within 60 days thereafter.</w:t>
      </w:r>
    </w:p>
    <w:p>
      <w:pPr>
        <w:spacing w:after="0" w:line="5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compensation packages for directors are intended to attract and retain high-quality individuals to provide oversight to our management team. Directors who are employees of the Company receive no additional compensation for their service as directors.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of our non-employee directors during fiscal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80" w:type="dxa"/>
            <w:vAlign w:val="bottom"/>
          </w:tcPr>
          <w:p>
            <w:pPr>
              <w:jc w:val="right"/>
              <w:ind w:right="279"/>
              <w:spacing w:after="0"/>
              <w:rPr>
                <w:sz w:val="20"/>
                <w:szCs w:val="20"/>
                <w:color w:val="auto"/>
              </w:rPr>
            </w:pPr>
            <w:r>
              <w:rPr>
                <w:rFonts w:ascii="Arial" w:cs="Arial" w:eastAsia="Arial" w:hAnsi="Arial"/>
                <w:sz w:val="10"/>
                <w:szCs w:val="10"/>
                <w:b w:val="1"/>
                <w:bCs w:val="1"/>
                <w:color w:val="auto"/>
              </w:rPr>
              <w:t>Fees</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jc w:val="right"/>
              <w:ind w:right="199"/>
              <w:spacing w:after="0" w:line="108" w:lineRule="exact"/>
              <w:rPr>
                <w:sz w:val="20"/>
                <w:szCs w:val="20"/>
                <w:color w:val="auto"/>
              </w:rPr>
            </w:pPr>
            <w:r>
              <w:rPr>
                <w:rFonts w:ascii="Arial" w:cs="Arial" w:eastAsia="Arial" w:hAnsi="Arial"/>
                <w:sz w:val="10"/>
                <w:szCs w:val="10"/>
                <w:b w:val="1"/>
                <w:bCs w:val="1"/>
                <w:color w:val="auto"/>
              </w:rPr>
              <w:t>Earned</w:t>
            </w:r>
          </w:p>
        </w:tc>
        <w:tc>
          <w:tcPr>
            <w:tcW w:w="260" w:type="dxa"/>
            <w:vAlign w:val="bottom"/>
          </w:tcPr>
          <w:p>
            <w:pPr>
              <w:spacing w:after="0"/>
              <w:rPr>
                <w:sz w:val="9"/>
                <w:szCs w:val="9"/>
                <w:color w:val="auto"/>
              </w:rPr>
            </w:pPr>
          </w:p>
        </w:tc>
        <w:tc>
          <w:tcPr>
            <w:tcW w:w="1100" w:type="dxa"/>
            <w:vAlign w:val="bottom"/>
            <w:vMerge w:val="restart"/>
          </w:tcPr>
          <w:p>
            <w:pPr>
              <w:jc w:val="right"/>
              <w:ind w:right="363"/>
              <w:spacing w:after="0"/>
              <w:rPr>
                <w:sz w:val="20"/>
                <w:szCs w:val="20"/>
                <w:color w:val="auto"/>
              </w:rPr>
            </w:pPr>
            <w:r>
              <w:rPr>
                <w:rFonts w:ascii="Arial" w:cs="Arial" w:eastAsia="Arial" w:hAnsi="Arial"/>
                <w:sz w:val="10"/>
                <w:szCs w:val="10"/>
                <w:b w:val="1"/>
                <w:bCs w:val="1"/>
                <w:color w:val="auto"/>
              </w:rPr>
              <w:t>Stock</w:t>
            </w:r>
          </w:p>
        </w:tc>
        <w:tc>
          <w:tcPr>
            <w:tcW w:w="260" w:type="dxa"/>
            <w:vAlign w:val="bottom"/>
          </w:tcPr>
          <w:p>
            <w:pPr>
              <w:spacing w:after="0"/>
              <w:rPr>
                <w:sz w:val="9"/>
                <w:szCs w:val="9"/>
                <w:color w:val="auto"/>
              </w:rPr>
            </w:pPr>
          </w:p>
        </w:tc>
        <w:tc>
          <w:tcPr>
            <w:tcW w:w="960" w:type="dxa"/>
            <w:vAlign w:val="bottom"/>
            <w:vMerge w:val="restart"/>
          </w:tcPr>
          <w:p>
            <w:pPr>
              <w:jc w:val="right"/>
              <w:ind w:right="258"/>
              <w:spacing w:after="0"/>
              <w:rPr>
                <w:sz w:val="20"/>
                <w:szCs w:val="20"/>
                <w:color w:val="auto"/>
              </w:rPr>
            </w:pPr>
            <w:r>
              <w:rPr>
                <w:rFonts w:ascii="Arial" w:cs="Arial" w:eastAsia="Arial" w:hAnsi="Arial"/>
                <w:sz w:val="10"/>
                <w:szCs w:val="10"/>
                <w:b w:val="1"/>
                <w:bCs w:val="1"/>
                <w:color w:val="auto"/>
              </w:rPr>
              <w:t>Option</w:t>
            </w:r>
          </w:p>
        </w:tc>
        <w:tc>
          <w:tcPr>
            <w:tcW w:w="26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880" w:type="dxa"/>
            <w:vAlign w:val="bottom"/>
          </w:tcPr>
          <w:p>
            <w:pPr>
              <w:jc w:val="right"/>
              <w:ind w:right="199"/>
              <w:spacing w:after="0"/>
              <w:rPr>
                <w:sz w:val="20"/>
                <w:szCs w:val="20"/>
                <w:color w:val="auto"/>
              </w:rPr>
            </w:pPr>
            <w:r>
              <w:rPr>
                <w:rFonts w:ascii="Arial" w:cs="Arial" w:eastAsia="Arial" w:hAnsi="Arial"/>
                <w:sz w:val="10"/>
                <w:szCs w:val="10"/>
                <w:b w:val="1"/>
                <w:bCs w:val="1"/>
                <w:color w:val="auto"/>
              </w:rPr>
              <w:t>or Paid</w:t>
            </w:r>
          </w:p>
        </w:tc>
        <w:tc>
          <w:tcPr>
            <w:tcW w:w="2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00" w:type="dxa"/>
            <w:vAlign w:val="bottom"/>
            <w:gridSpan w:val="2"/>
            <w:vMerge w:val="continue"/>
          </w:tcPr>
          <w:p>
            <w:pPr>
              <w:spacing w:after="0"/>
              <w:rPr>
                <w:sz w:val="10"/>
                <w:szCs w:val="10"/>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in Cash</w:t>
            </w:r>
          </w:p>
        </w:tc>
        <w:tc>
          <w:tcPr>
            <w:tcW w:w="260" w:type="dxa"/>
            <w:vAlign w:val="bottom"/>
          </w:tcPr>
          <w:p>
            <w:pPr>
              <w:spacing w:after="0"/>
              <w:rPr>
                <w:sz w:val="10"/>
                <w:szCs w:val="10"/>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Awards(1)(2)</w:t>
            </w:r>
          </w:p>
        </w:tc>
        <w:tc>
          <w:tcPr>
            <w:tcW w:w="260" w:type="dxa"/>
            <w:vAlign w:val="bottom"/>
          </w:tcPr>
          <w:p>
            <w:pPr>
              <w:spacing w:after="0"/>
              <w:rPr>
                <w:sz w:val="10"/>
                <w:szCs w:val="10"/>
                <w:color w:val="auto"/>
              </w:rPr>
            </w:pP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Awards(1)</w:t>
            </w:r>
          </w:p>
        </w:tc>
        <w:tc>
          <w:tcPr>
            <w:tcW w:w="26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Compensation</w:t>
            </w:r>
          </w:p>
        </w:tc>
        <w:tc>
          <w:tcPr>
            <w:tcW w:w="240" w:type="dxa"/>
            <w:vAlign w:val="bottom"/>
          </w:tcPr>
          <w:p>
            <w:pPr>
              <w:spacing w:after="0"/>
              <w:rPr>
                <w:sz w:val="10"/>
                <w:szCs w:val="10"/>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Vikram S. Budhraja</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$45,500</w:t>
            </w:r>
          </w:p>
        </w:tc>
        <w:tc>
          <w:tcPr>
            <w:tcW w:w="136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$130,640</w:t>
            </w:r>
          </w:p>
        </w:tc>
        <w:tc>
          <w:tcPr>
            <w:tcW w:w="0" w:type="dxa"/>
            <w:vAlign w:val="bottom"/>
          </w:tcPr>
          <w:p>
            <w:pPr>
              <w:spacing w:after="0"/>
              <w:rPr>
                <w:sz w:val="1"/>
                <w:szCs w:val="1"/>
                <w:color w:val="auto"/>
              </w:rPr>
            </w:pPr>
          </w:p>
        </w:tc>
      </w:tr>
      <w:tr>
        <w:trPr>
          <w:trHeight w:val="157"/>
        </w:trPr>
        <w:tc>
          <w:tcPr>
            <w:tcW w:w="4000" w:type="dxa"/>
            <w:vAlign w:val="bottom"/>
            <w:gridSpan w:val="2"/>
          </w:tcPr>
          <w:p>
            <w:pPr>
              <w:spacing w:after="0"/>
              <w:rPr>
                <w:sz w:val="20"/>
                <w:szCs w:val="20"/>
                <w:color w:val="auto"/>
              </w:rPr>
            </w:pPr>
            <w:r>
              <w:rPr>
                <w:rFonts w:ascii="Arial" w:cs="Arial" w:eastAsia="Arial" w:hAnsi="Arial"/>
                <w:sz w:val="13"/>
                <w:szCs w:val="13"/>
                <w:color w:val="auto"/>
              </w:rPr>
              <w:t>Peter O. Crisp</w:t>
            </w:r>
          </w:p>
        </w:tc>
        <w:tc>
          <w:tcPr>
            <w:tcW w:w="880" w:type="dxa"/>
            <w:vAlign w:val="bottom"/>
          </w:tcPr>
          <w:p>
            <w:pPr>
              <w:jc w:val="right"/>
              <w:ind w:right="199"/>
              <w:spacing w:after="0"/>
              <w:rPr>
                <w:sz w:val="20"/>
                <w:szCs w:val="20"/>
                <w:color w:val="auto"/>
              </w:rPr>
            </w:pPr>
            <w:r>
              <w:rPr>
                <w:rFonts w:ascii="Arial" w:cs="Arial" w:eastAsia="Arial" w:hAnsi="Arial"/>
                <w:sz w:val="13"/>
                <w:szCs w:val="13"/>
                <w:color w:val="auto"/>
              </w:rPr>
              <w:t>$59,500</w:t>
            </w:r>
          </w:p>
        </w:tc>
        <w:tc>
          <w:tcPr>
            <w:tcW w:w="1360" w:type="dxa"/>
            <w:vAlign w:val="bottom"/>
            <w:gridSpan w:val="2"/>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tcPr>
          <w:p>
            <w:pPr>
              <w:spacing w:after="0"/>
              <w:rPr>
                <w:sz w:val="13"/>
                <w:szCs w:val="13"/>
                <w:color w:val="auto"/>
              </w:rPr>
            </w:pPr>
          </w:p>
        </w:tc>
        <w:tc>
          <w:tcPr>
            <w:tcW w:w="9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8"/>
              <w:spacing w:after="0"/>
              <w:rPr>
                <w:sz w:val="20"/>
                <w:szCs w:val="20"/>
                <w:color w:val="auto"/>
              </w:rPr>
            </w:pPr>
            <w:r>
              <w:rPr>
                <w:rFonts w:ascii="Arial" w:cs="Arial" w:eastAsia="Arial" w:hAnsi="Arial"/>
                <w:sz w:val="13"/>
                <w:szCs w:val="13"/>
                <w:color w:val="auto"/>
              </w:rPr>
              <w:t>$144,640</w:t>
            </w: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Drouin</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$56,500</w:t>
            </w:r>
          </w:p>
        </w:tc>
        <w:tc>
          <w:tcPr>
            <w:tcW w:w="136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$141,640</w:t>
            </w:r>
          </w:p>
        </w:tc>
        <w:tc>
          <w:tcPr>
            <w:tcW w:w="0" w:type="dxa"/>
            <w:vAlign w:val="bottom"/>
          </w:tcPr>
          <w:p>
            <w:pPr>
              <w:spacing w:after="0"/>
              <w:rPr>
                <w:sz w:val="1"/>
                <w:szCs w:val="1"/>
                <w:color w:val="auto"/>
              </w:rPr>
            </w:pPr>
          </w:p>
        </w:tc>
      </w:tr>
      <w:tr>
        <w:trPr>
          <w:trHeight w:val="157"/>
        </w:trPr>
        <w:tc>
          <w:tcPr>
            <w:tcW w:w="4000" w:type="dxa"/>
            <w:vAlign w:val="bottom"/>
            <w:gridSpan w:val="2"/>
          </w:tcPr>
          <w:p>
            <w:pPr>
              <w:spacing w:after="0"/>
              <w:rPr>
                <w:sz w:val="20"/>
                <w:szCs w:val="20"/>
                <w:color w:val="auto"/>
              </w:rPr>
            </w:pPr>
            <w:r>
              <w:rPr>
                <w:rFonts w:ascii="Arial" w:cs="Arial" w:eastAsia="Arial" w:hAnsi="Arial"/>
                <w:sz w:val="13"/>
                <w:szCs w:val="13"/>
                <w:color w:val="auto"/>
              </w:rPr>
              <w:t>David R. Oliver, Jr.</w:t>
            </w:r>
          </w:p>
        </w:tc>
        <w:tc>
          <w:tcPr>
            <w:tcW w:w="880" w:type="dxa"/>
            <w:vAlign w:val="bottom"/>
          </w:tcPr>
          <w:p>
            <w:pPr>
              <w:jc w:val="right"/>
              <w:ind w:right="199"/>
              <w:spacing w:after="0"/>
              <w:rPr>
                <w:sz w:val="20"/>
                <w:szCs w:val="20"/>
                <w:color w:val="auto"/>
              </w:rPr>
            </w:pPr>
            <w:r>
              <w:rPr>
                <w:rFonts w:ascii="Arial" w:cs="Arial" w:eastAsia="Arial" w:hAnsi="Arial"/>
                <w:sz w:val="13"/>
                <w:szCs w:val="13"/>
                <w:color w:val="auto"/>
              </w:rPr>
              <w:t>$51,000</w:t>
            </w:r>
          </w:p>
        </w:tc>
        <w:tc>
          <w:tcPr>
            <w:tcW w:w="1360" w:type="dxa"/>
            <w:vAlign w:val="bottom"/>
            <w:gridSpan w:val="2"/>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tcPr>
          <w:p>
            <w:pPr>
              <w:spacing w:after="0"/>
              <w:rPr>
                <w:sz w:val="13"/>
                <w:szCs w:val="13"/>
                <w:color w:val="auto"/>
              </w:rPr>
            </w:pPr>
          </w:p>
        </w:tc>
        <w:tc>
          <w:tcPr>
            <w:tcW w:w="9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8"/>
              <w:spacing w:after="0"/>
              <w:rPr>
                <w:sz w:val="20"/>
                <w:szCs w:val="20"/>
                <w:color w:val="auto"/>
              </w:rPr>
            </w:pPr>
            <w:r>
              <w:rPr>
                <w:rFonts w:ascii="Arial" w:cs="Arial" w:eastAsia="Arial" w:hAnsi="Arial"/>
                <w:sz w:val="13"/>
                <w:szCs w:val="13"/>
                <w:color w:val="auto"/>
              </w:rPr>
              <w:t>$136,140</w:t>
            </w: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B. Vander Sande</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$70,500</w:t>
            </w:r>
          </w:p>
        </w:tc>
        <w:tc>
          <w:tcPr>
            <w:tcW w:w="136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$155,640</w:t>
            </w:r>
          </w:p>
        </w:tc>
        <w:tc>
          <w:tcPr>
            <w:tcW w:w="0" w:type="dxa"/>
            <w:vAlign w:val="bottom"/>
          </w:tcPr>
          <w:p>
            <w:pPr>
              <w:spacing w:after="0"/>
              <w:rPr>
                <w:sz w:val="1"/>
                <w:szCs w:val="1"/>
                <w:color w:val="auto"/>
              </w:rPr>
            </w:pPr>
          </w:p>
        </w:tc>
      </w:tr>
      <w:tr>
        <w:trPr>
          <w:trHeight w:val="157"/>
        </w:trPr>
        <w:tc>
          <w:tcPr>
            <w:tcW w:w="4000" w:type="dxa"/>
            <w:vAlign w:val="bottom"/>
            <w:gridSpan w:val="2"/>
          </w:tcPr>
          <w:p>
            <w:pPr>
              <w:spacing w:after="0"/>
              <w:rPr>
                <w:sz w:val="20"/>
                <w:szCs w:val="20"/>
                <w:color w:val="auto"/>
              </w:rPr>
            </w:pPr>
            <w:r>
              <w:rPr>
                <w:rFonts w:ascii="Arial" w:cs="Arial" w:eastAsia="Arial" w:hAnsi="Arial"/>
                <w:sz w:val="13"/>
                <w:szCs w:val="13"/>
                <w:color w:val="auto"/>
              </w:rPr>
              <w:t>John W. Wood, Jr.</w:t>
            </w:r>
          </w:p>
        </w:tc>
        <w:tc>
          <w:tcPr>
            <w:tcW w:w="880" w:type="dxa"/>
            <w:vAlign w:val="bottom"/>
          </w:tcPr>
          <w:p>
            <w:pPr>
              <w:jc w:val="right"/>
              <w:ind w:right="199"/>
              <w:spacing w:after="0"/>
              <w:rPr>
                <w:sz w:val="20"/>
                <w:szCs w:val="20"/>
                <w:color w:val="auto"/>
              </w:rPr>
            </w:pPr>
            <w:r>
              <w:rPr>
                <w:rFonts w:ascii="Arial" w:cs="Arial" w:eastAsia="Arial" w:hAnsi="Arial"/>
                <w:sz w:val="13"/>
                <w:szCs w:val="13"/>
                <w:color w:val="auto"/>
              </w:rPr>
              <w:t>$66,000</w:t>
            </w:r>
          </w:p>
        </w:tc>
        <w:tc>
          <w:tcPr>
            <w:tcW w:w="1360" w:type="dxa"/>
            <w:vAlign w:val="bottom"/>
            <w:gridSpan w:val="2"/>
          </w:tcPr>
          <w:p>
            <w:pPr>
              <w:jc w:val="right"/>
              <w:ind w:right="303"/>
              <w:spacing w:after="0"/>
              <w:rPr>
                <w:sz w:val="20"/>
                <w:szCs w:val="20"/>
                <w:color w:val="auto"/>
              </w:rPr>
            </w:pPr>
            <w:r>
              <w:rPr>
                <w:rFonts w:ascii="Arial" w:cs="Arial" w:eastAsia="Arial" w:hAnsi="Arial"/>
                <w:sz w:val="13"/>
                <w:szCs w:val="13"/>
                <w:color w:val="auto"/>
              </w:rPr>
              <w:t>$85,140</w:t>
            </w:r>
          </w:p>
        </w:tc>
        <w:tc>
          <w:tcPr>
            <w:tcW w:w="260" w:type="dxa"/>
            <w:vAlign w:val="bottom"/>
          </w:tcPr>
          <w:p>
            <w:pPr>
              <w:spacing w:after="0"/>
              <w:rPr>
                <w:sz w:val="13"/>
                <w:szCs w:val="13"/>
                <w:color w:val="auto"/>
              </w:rPr>
            </w:pPr>
          </w:p>
        </w:tc>
        <w:tc>
          <w:tcPr>
            <w:tcW w:w="9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08"/>
              <w:spacing w:after="0"/>
              <w:rPr>
                <w:sz w:val="20"/>
                <w:szCs w:val="20"/>
                <w:color w:val="auto"/>
              </w:rPr>
            </w:pPr>
            <w:r>
              <w:rPr>
                <w:rFonts w:ascii="Arial" w:cs="Arial" w:eastAsia="Arial" w:hAnsi="Arial"/>
                <w:sz w:val="13"/>
                <w:szCs w:val="13"/>
                <w:color w:val="auto"/>
              </w:rPr>
              <w:t>$151,140</w:t>
            </w: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Pamela F. Lenehan(3)</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0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$138,158</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$138,158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-798195</wp:posOffset>
            </wp:positionV>
            <wp:extent cx="2476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hanging="205"/>
        <w:spacing w:after="0" w:line="276" w:lineRule="auto"/>
        <w:tabs>
          <w:tab w:leader="none" w:pos="10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Excludes Dr. Yurek, who served as our chief executive officer during fiscal 2010 and who received no compensation for service as a director in fiscal 2010. Dr. Yurek’s compensation as an executive is reported in the Summary Compensation Table included in this Annual Report on Form 10-K.</w:t>
      </w:r>
    </w:p>
    <w:p>
      <w:pPr>
        <w:spacing w:after="0" w:line="10" w:lineRule="exact"/>
        <w:rPr>
          <w:sz w:val="20"/>
          <w:szCs w:val="20"/>
          <w:color w:val="auto"/>
        </w:rPr>
      </w:pPr>
    </w:p>
    <w:p>
      <w:pPr>
        <w:ind w:left="1000" w:hanging="259"/>
        <w:spacing w:after="0" w:line="276" w:lineRule="auto"/>
        <w:tabs>
          <w:tab w:leader="none" w:pos="10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amounts shown reflect the grant date fair value of awards granted during fiscal 2010. A discussion of the assumptions used in calculating the amounts in this column may be found in Note 11 to our audited consolidated financial statements for the fiscal 2010 included elsewhere in our Annual Report on Form 10-K.</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stock price of $28.38 on the grant date of August 11, 2010.</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Ms. Lenehan was appointed to the Board on March 11, 2011.</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2011, each non-employee director held options for the following aggregate number of shares of common stock:</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960" w:type="dxa"/>
            <w:vAlign w:val="bottom"/>
          </w:tcPr>
          <w:p>
            <w:pPr>
              <w:jc w:val="right"/>
              <w:ind w:right="157"/>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20" w:type="dxa"/>
            <w:vAlign w:val="bottom"/>
            <w:gridSpan w:val="2"/>
            <w:vMerge w:val="continue"/>
          </w:tcPr>
          <w:p>
            <w:pPr>
              <w:spacing w:after="0"/>
              <w:rPr>
                <w:sz w:val="10"/>
                <w:szCs w:val="10"/>
                <w:color w:val="auto"/>
              </w:rPr>
            </w:pPr>
          </w:p>
        </w:tc>
        <w:tc>
          <w:tcPr>
            <w:tcW w:w="960" w:type="dxa"/>
            <w:vAlign w:val="bottom"/>
          </w:tcPr>
          <w:p>
            <w:pPr>
              <w:jc w:val="right"/>
              <w:ind w:right="257"/>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Vikram S. Budhraja</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020" w:type="dxa"/>
            <w:vAlign w:val="bottom"/>
            <w:gridSpan w:val="2"/>
          </w:tcPr>
          <w:p>
            <w:pPr>
              <w:spacing w:after="0"/>
              <w:rPr>
                <w:sz w:val="20"/>
                <w:szCs w:val="20"/>
                <w:color w:val="auto"/>
              </w:rPr>
            </w:pPr>
            <w:r>
              <w:rPr>
                <w:rFonts w:ascii="Arial" w:cs="Arial" w:eastAsia="Arial" w:hAnsi="Arial"/>
                <w:sz w:val="13"/>
                <w:szCs w:val="13"/>
                <w:color w:val="auto"/>
              </w:rPr>
              <w:t>Peter O. Crisp</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57"/>
        </w:trPr>
        <w:tc>
          <w:tcPr>
            <w:tcW w:w="9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Drouin</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020" w:type="dxa"/>
            <w:vAlign w:val="bottom"/>
            <w:gridSpan w:val="2"/>
          </w:tcPr>
          <w:p>
            <w:pPr>
              <w:spacing w:after="0"/>
              <w:rPr>
                <w:sz w:val="20"/>
                <w:szCs w:val="20"/>
                <w:color w:val="auto"/>
              </w:rPr>
            </w:pPr>
            <w:r>
              <w:rPr>
                <w:rFonts w:ascii="Arial" w:cs="Arial" w:eastAsia="Arial" w:hAnsi="Arial"/>
                <w:sz w:val="13"/>
                <w:szCs w:val="13"/>
                <w:color w:val="auto"/>
              </w:rPr>
              <w:t>David R. Oliver, Jr.</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7"/>
        </w:trPr>
        <w:tc>
          <w:tcPr>
            <w:tcW w:w="9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B. Vander Sande</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57"/>
        </w:trPr>
        <w:tc>
          <w:tcPr>
            <w:tcW w:w="9020" w:type="dxa"/>
            <w:vAlign w:val="bottom"/>
            <w:gridSpan w:val="2"/>
          </w:tcPr>
          <w:p>
            <w:pPr>
              <w:spacing w:after="0"/>
              <w:rPr>
                <w:sz w:val="20"/>
                <w:szCs w:val="20"/>
                <w:color w:val="auto"/>
              </w:rPr>
            </w:pPr>
            <w:r>
              <w:rPr>
                <w:rFonts w:ascii="Arial" w:cs="Arial" w:eastAsia="Arial" w:hAnsi="Arial"/>
                <w:sz w:val="13"/>
                <w:szCs w:val="13"/>
                <w:color w:val="auto"/>
              </w:rPr>
              <w:t>John W. Wood, Jr.</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7"/>
        </w:trPr>
        <w:tc>
          <w:tcPr>
            <w:tcW w:w="9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Pamela F. Lenehan</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Compensation Committee has reviewed and discussed the preceeding “Compensation Discussion and Analysis” section with management. Based on that review and discussion, the Compensation Committee has recommended to our Board that the “Compensation Discussion and Analysis” section be included in our Annual Report on Form 10-K for the fiscal year ended March 31, 2011.</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By the Compensation Committee of the Board.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Peter O. Crisp, Chairman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Richard Drouin</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John B. Vander Sande</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Vikram S. Budhraja</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current members of the Compensation Committee are Mr. Crisp (Chairman), Mr. Drouin, Dr. Vander Sande and Mr. Budhraja. No member of the Compensation Committee was at any time during fiscal 2010, or formerly, an officer or employee of ours or any subsidiary of ours, nor has any member of the Compensation Committee had any relationship with us requiring disclosure under Item 404 of Regulation S-K under the Exchange Act.</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No executive officer of the Company has served as a director or member of the Compensation Committee (or other committee serving an equivalent function) of any other entity, one of whose executive officers served as a director of or member of our Compensation Committee.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of Certain Beneficial Owners and Management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beneficial ownership of our common stock as of August 31, 2011, or such earlier date as indicated below, by:</w:t>
      </w:r>
    </w:p>
    <w:p>
      <w:pPr>
        <w:spacing w:after="0" w:line="96" w:lineRule="exact"/>
        <w:rPr>
          <w:sz w:val="20"/>
          <w:szCs w:val="20"/>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each person, or group of affiliated persons, who is known by us to beneficially own more than 5% of the outstanding shares of our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our “named executive officers” (as defined in Item 11 to this Annual Report on Form 10-K);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all current directors and executive officers as a group.</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Unless otherwise provided, the address of each individual listed below is c/o American Superconductor Corporation, 64 Jackson Road, Devens, Massachusetts 01434.</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10"/>
                <w:szCs w:val="10"/>
                <w:color w:val="auto"/>
              </w:rPr>
            </w:pPr>
          </w:p>
        </w:tc>
        <w:tc>
          <w:tcPr>
            <w:tcW w:w="1200" w:type="dxa"/>
            <w:vAlign w:val="bottom"/>
            <w:vMerge w:val="restart"/>
          </w:tcPr>
          <w:p>
            <w:pPr>
              <w:jc w:val="right"/>
              <w:ind w:right="248"/>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Shares</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0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 of Beneficial Owner</w:t>
            </w:r>
          </w:p>
        </w:tc>
        <w:tc>
          <w:tcPr>
            <w:tcW w:w="1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280" w:type="dxa"/>
            <w:vAlign w:val="bottom"/>
          </w:tcPr>
          <w:p>
            <w:pPr>
              <w:spacing w:after="0"/>
              <w:rPr>
                <w:sz w:val="10"/>
                <w:szCs w:val="10"/>
                <w:color w:val="auto"/>
              </w:rPr>
            </w:pPr>
          </w:p>
        </w:tc>
        <w:tc>
          <w:tcPr>
            <w:tcW w:w="1200" w:type="dxa"/>
            <w:vAlign w:val="bottom"/>
          </w:tcPr>
          <w:p>
            <w:pPr>
              <w:jc w:val="right"/>
              <w:ind w:right="188"/>
              <w:spacing w:after="0"/>
              <w:rPr>
                <w:sz w:val="20"/>
                <w:szCs w:val="20"/>
                <w:color w:val="auto"/>
              </w:rPr>
            </w:pPr>
            <w:r>
              <w:rPr>
                <w:rFonts w:ascii="Arial" w:cs="Arial" w:eastAsia="Arial" w:hAnsi="Arial"/>
                <w:sz w:val="10"/>
                <w:szCs w:val="10"/>
                <w:b w:val="1"/>
                <w:bCs w:val="1"/>
                <w:color w:val="auto"/>
              </w:rPr>
              <w:t>Common Stock</w:t>
            </w:r>
          </w:p>
        </w:tc>
        <w:tc>
          <w:tcPr>
            <w:tcW w:w="0" w:type="dxa"/>
            <w:vAlign w:val="bottom"/>
          </w:tcPr>
          <w:p>
            <w:pPr>
              <w:spacing w:after="0"/>
              <w:rPr>
                <w:sz w:val="1"/>
                <w:szCs w:val="1"/>
                <w:color w:val="auto"/>
              </w:rPr>
            </w:pPr>
          </w:p>
        </w:tc>
      </w:tr>
      <w:tr>
        <w:trPr>
          <w:trHeight w:val="125"/>
        </w:trPr>
        <w:tc>
          <w:tcPr>
            <w:tcW w:w="70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96"/>
              </w:rPr>
              <w:t>Owned(1)</w:t>
            </w:r>
          </w:p>
        </w:tc>
        <w:tc>
          <w:tcPr>
            <w:tcW w:w="280" w:type="dxa"/>
            <w:vAlign w:val="bottom"/>
          </w:tcPr>
          <w:p>
            <w:pPr>
              <w:spacing w:after="0"/>
              <w:rPr>
                <w:sz w:val="10"/>
                <w:szCs w:val="10"/>
                <w:color w:val="auto"/>
              </w:rPr>
            </w:pPr>
          </w:p>
        </w:tc>
        <w:tc>
          <w:tcPr>
            <w:tcW w:w="1200" w:type="dxa"/>
            <w:vAlign w:val="bottom"/>
          </w:tcPr>
          <w:p>
            <w:pPr>
              <w:jc w:val="right"/>
              <w:ind w:right="208"/>
              <w:spacing w:after="0"/>
              <w:rPr>
                <w:sz w:val="20"/>
                <w:szCs w:val="20"/>
                <w:color w:val="auto"/>
              </w:rPr>
            </w:pPr>
            <w:r>
              <w:rPr>
                <w:rFonts w:ascii="Arial" w:cs="Arial" w:eastAsia="Arial" w:hAnsi="Arial"/>
                <w:sz w:val="10"/>
                <w:szCs w:val="10"/>
                <w:b w:val="1"/>
                <w:bCs w:val="1"/>
                <w:color w:val="auto"/>
              </w:rPr>
              <w:t>Outstanding(2)</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Five Percent Stockholders</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gridSpan w:val="3"/>
          </w:tcPr>
          <w:p>
            <w:pPr>
              <w:spacing w:after="0" w:line="149" w:lineRule="exact"/>
              <w:rPr>
                <w:sz w:val="20"/>
                <w:szCs w:val="20"/>
                <w:color w:val="auto"/>
              </w:rPr>
            </w:pPr>
            <w:r>
              <w:rPr>
                <w:rFonts w:ascii="Arial" w:cs="Arial" w:eastAsia="Arial" w:hAnsi="Arial"/>
                <w:sz w:val="13"/>
                <w:szCs w:val="13"/>
                <w:color w:val="auto"/>
              </w:rPr>
              <w:t>Kevin Douglas and related group(3)</w:t>
            </w:r>
          </w:p>
        </w:tc>
        <w:tc>
          <w:tcPr>
            <w:tcW w:w="1500" w:type="dxa"/>
            <w:vAlign w:val="bottom"/>
            <w:gridSpan w:val="2"/>
          </w:tcPr>
          <w:p>
            <w:pPr>
              <w:jc w:val="right"/>
              <w:ind w:right="305"/>
              <w:spacing w:after="0" w:line="149" w:lineRule="exact"/>
              <w:rPr>
                <w:sz w:val="20"/>
                <w:szCs w:val="20"/>
                <w:color w:val="auto"/>
              </w:rPr>
            </w:pPr>
            <w:r>
              <w:rPr>
                <w:rFonts w:ascii="Arial" w:cs="Arial" w:eastAsia="Arial" w:hAnsi="Arial"/>
                <w:sz w:val="13"/>
                <w:szCs w:val="13"/>
                <w:color w:val="auto"/>
              </w:rPr>
              <w:t>11,797,500</w:t>
            </w:r>
          </w:p>
        </w:tc>
        <w:tc>
          <w:tcPr>
            <w:tcW w:w="1480" w:type="dxa"/>
            <w:vAlign w:val="bottom"/>
            <w:gridSpan w:val="2"/>
          </w:tcPr>
          <w:p>
            <w:pPr>
              <w:jc w:val="right"/>
              <w:ind w:right="308"/>
              <w:spacing w:after="0" w:line="149" w:lineRule="exact"/>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920" w:type="dxa"/>
            <w:vAlign w:val="bottom"/>
            <w:gridSpan w:val="2"/>
          </w:tcPr>
          <w:p>
            <w:pPr>
              <w:ind w:left="60"/>
              <w:spacing w:after="0"/>
              <w:rPr>
                <w:sz w:val="20"/>
                <w:szCs w:val="20"/>
                <w:color w:val="auto"/>
              </w:rPr>
            </w:pPr>
            <w:r>
              <w:rPr>
                <w:rFonts w:ascii="Arial" w:cs="Arial" w:eastAsia="Arial" w:hAnsi="Arial"/>
                <w:sz w:val="13"/>
                <w:szCs w:val="13"/>
                <w:color w:val="auto"/>
              </w:rPr>
              <w:t>c/o 125 East Sir Francis Drake Blvd.</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6920" w:type="dxa"/>
            <w:vAlign w:val="bottom"/>
            <w:gridSpan w:val="2"/>
          </w:tcPr>
          <w:p>
            <w:pPr>
              <w:ind w:left="60"/>
              <w:spacing w:after="0"/>
              <w:rPr>
                <w:sz w:val="20"/>
                <w:szCs w:val="20"/>
                <w:color w:val="auto"/>
              </w:rPr>
            </w:pPr>
            <w:r>
              <w:rPr>
                <w:rFonts w:ascii="Arial" w:cs="Arial" w:eastAsia="Arial" w:hAnsi="Arial"/>
                <w:sz w:val="13"/>
                <w:szCs w:val="13"/>
                <w:color w:val="auto"/>
              </w:rPr>
              <w:t>Suite 400, Larkspur, CA 94903</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BlackRock, Inc. and its affiliates(4)</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3,323,775</w:t>
            </w:r>
          </w:p>
        </w:tc>
        <w:tc>
          <w:tcPr>
            <w:tcW w:w="14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9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40 East 52nd Street, New York, NY 10022</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i w:val="1"/>
                <w:iCs w:val="1"/>
                <w:color w:val="auto"/>
              </w:rPr>
              <w:t>Directors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Gregory J. Yurek(5)</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233,643</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Daniel P. McGahn(6)</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190,538</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Vikram S. Budhraja</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50,000</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Peter O. Crisp(7)</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155,603</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Richard Drouin</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28,000</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David R. Oliver, Jr.(8)</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35,400</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Pamela F. Lenehan</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05"/>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John B. Vander Sande(9)</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59,000</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John W. Wood, Jr.(10)</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34,000</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i w:val="1"/>
                <w:iCs w:val="1"/>
                <w:color w:val="auto"/>
              </w:rPr>
              <w:t>Other Named Executive Officers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David A. Henry(11)</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158,034</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John R. Collett(12)</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54,751</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Charles W. Stankiewicz(13)</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150,367</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tcPr>
          <w:p>
            <w:pPr>
              <w:spacing w:after="0"/>
              <w:rPr>
                <w:sz w:val="20"/>
                <w:szCs w:val="20"/>
                <w:color w:val="auto"/>
              </w:rPr>
            </w:pPr>
            <w:r>
              <w:rPr>
                <w:rFonts w:ascii="Arial" w:cs="Arial" w:eastAsia="Arial" w:hAnsi="Arial"/>
                <w:sz w:val="13"/>
                <w:szCs w:val="13"/>
                <w:color w:val="auto"/>
              </w:rPr>
              <w:t>Susan J. DiCecco(14)</w:t>
            </w:r>
          </w:p>
        </w:tc>
        <w:tc>
          <w:tcPr>
            <w:tcW w:w="1500" w:type="dxa"/>
            <w:vAlign w:val="bottom"/>
            <w:gridSpan w:val="2"/>
          </w:tcPr>
          <w:p>
            <w:pPr>
              <w:jc w:val="right"/>
              <w:ind w:right="305"/>
              <w:spacing w:after="0"/>
              <w:rPr>
                <w:sz w:val="20"/>
                <w:szCs w:val="20"/>
                <w:color w:val="auto"/>
              </w:rPr>
            </w:pPr>
            <w:r>
              <w:rPr>
                <w:rFonts w:ascii="Arial" w:cs="Arial" w:eastAsia="Arial" w:hAnsi="Arial"/>
                <w:sz w:val="13"/>
                <w:szCs w:val="13"/>
                <w:color w:val="auto"/>
              </w:rPr>
              <w:t>37,321</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(14 persons)(15)</w:t>
            </w:r>
          </w:p>
        </w:tc>
        <w:tc>
          <w:tcPr>
            <w:tcW w:w="1500" w:type="dxa"/>
            <w:vAlign w:val="bottom"/>
            <w:gridSpan w:val="2"/>
            <w:shd w:val="clear" w:color="auto" w:fill="CCEEFF"/>
          </w:tcPr>
          <w:p>
            <w:pPr>
              <w:jc w:val="right"/>
              <w:ind w:right="305"/>
              <w:spacing w:after="0"/>
              <w:rPr>
                <w:sz w:val="20"/>
                <w:szCs w:val="20"/>
                <w:color w:val="auto"/>
              </w:rPr>
            </w:pPr>
            <w:r>
              <w:rPr>
                <w:rFonts w:ascii="Arial" w:cs="Arial" w:eastAsia="Arial" w:hAnsi="Arial"/>
                <w:sz w:val="13"/>
                <w:szCs w:val="13"/>
                <w:color w:val="auto"/>
              </w:rPr>
              <w:t>1,276,885</w:t>
            </w:r>
          </w:p>
        </w:tc>
        <w:tc>
          <w:tcPr>
            <w:tcW w:w="14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w:t>
      </w:r>
    </w:p>
    <w:p>
      <w:pPr>
        <w:spacing w:after="0" w:line="47" w:lineRule="exact"/>
        <w:rPr>
          <w:sz w:val="20"/>
          <w:szCs w:val="20"/>
          <w:color w:val="auto"/>
        </w:rPr>
      </w:pPr>
    </w:p>
    <w:p>
      <w:pPr>
        <w:jc w:val="both"/>
        <w:ind w:left="1080" w:hanging="241"/>
        <w:spacing w:after="0" w:line="264" w:lineRule="auto"/>
        <w:tabs>
          <w:tab w:leader="none" w:pos="10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inclusion of any shares of common stock deemed beneficially owned does not constitute an admission of beneficial ownership of those shares. In accordance with the rules of the SEC, each stockholder is deemed to beneficially own any shares subject to stock options that are currently exercisable or exercisable within 60 days after August 31, 2011, and any reference below to shares subject to outstanding stock options held by the person in question refers only to such stock options.</w:t>
      </w:r>
    </w:p>
    <w:p>
      <w:pPr>
        <w:spacing w:after="0" w:line="17" w:lineRule="exact"/>
        <w:rPr>
          <w:rFonts w:ascii="Arial" w:cs="Arial" w:eastAsia="Arial" w:hAnsi="Arial"/>
          <w:sz w:val="13"/>
          <w:szCs w:val="13"/>
          <w:color w:val="auto"/>
        </w:rPr>
      </w:pPr>
    </w:p>
    <w:p>
      <w:pPr>
        <w:ind w:left="1080" w:hanging="241"/>
        <w:spacing w:after="0" w:line="335" w:lineRule="auto"/>
        <w:tabs>
          <w:tab w:leader="none" w:pos="1080" w:val="left"/>
        </w:tabs>
        <w:numPr>
          <w:ilvl w:val="0"/>
          <w:numId w:val="76"/>
        </w:numPr>
        <w:rPr>
          <w:rFonts w:ascii="Arial" w:cs="Arial" w:eastAsia="Arial" w:hAnsi="Arial"/>
          <w:sz w:val="11"/>
          <w:szCs w:val="11"/>
          <w:color w:val="auto"/>
        </w:rPr>
      </w:pPr>
      <w:r>
        <w:rPr>
          <w:rFonts w:ascii="Arial" w:cs="Arial" w:eastAsia="Arial" w:hAnsi="Arial"/>
          <w:sz w:val="11"/>
          <w:szCs w:val="11"/>
          <w:color w:val="auto"/>
        </w:rPr>
        <w:t>To calculate the percentage of outstanding shares of common stock held by each stockholder, the number of shares deemed outstanding includes 50,870,058 shares outstanding as of August 31, 2011, plus any shares subject to outstanding stock options currently exercisable or exercisable within 60 days after August 31, 2011 held by the stockholder in question.</w:t>
      </w:r>
    </w:p>
    <w:p>
      <w:pPr>
        <w:ind w:left="1080" w:hanging="241"/>
        <w:spacing w:after="0" w:line="276" w:lineRule="auto"/>
        <w:tabs>
          <w:tab w:leader="none" w:pos="10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Information is derived from the Schedule 13D filed on April 11, 2011 by Kevin Douglas, Michelle Douglas, James E. Douglas, III, K&amp;M Douglas Trust, Douglas Family Trust, James Douglas and Jean Douglas Irrevocable Descendants’ Trust, KGD 2010 Annuity Trust I and MMD 2010 Annuity Trust I and is as of April 6, 2011.</w:t>
      </w:r>
    </w:p>
    <w:p>
      <w:pPr>
        <w:spacing w:after="0" w:line="10" w:lineRule="exact"/>
        <w:rPr>
          <w:rFonts w:ascii="Arial" w:cs="Arial" w:eastAsia="Arial" w:hAnsi="Arial"/>
          <w:sz w:val="13"/>
          <w:szCs w:val="13"/>
          <w:color w:val="auto"/>
        </w:rPr>
      </w:pPr>
    </w:p>
    <w:p>
      <w:pPr>
        <w:ind w:left="1080" w:hanging="241"/>
        <w:spacing w:after="0"/>
        <w:tabs>
          <w:tab w:leader="none" w:pos="10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Information is derived from the Schedule 13G/A filed on August 8, 2011 by BlackRock, Inc. and its affiliates and is as of August 31, 2011.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57,631 shares subject to outstanding stock options. Information is as of August 15, 2011, the last day on which Mr. Yurek served as a director of the Company.</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41"/>
        <w:spacing w:after="0" w:line="276" w:lineRule="auto"/>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69,500 shares subject to outstanding stock options, 87,000 shares subject to certain restrictions on transfer and a repurchase right in favor of the Company and 1,548 shares held indirectly through American Superconductor’s 401(k) plan.</w:t>
      </w:r>
    </w:p>
    <w:p>
      <w:pPr>
        <w:spacing w:after="0" w:line="10" w:lineRule="exact"/>
        <w:rPr>
          <w:rFonts w:ascii="Arial" w:cs="Arial" w:eastAsia="Arial" w:hAnsi="Arial"/>
          <w:sz w:val="13"/>
          <w:szCs w:val="13"/>
          <w:color w:val="auto"/>
        </w:rPr>
      </w:pPr>
    </w:p>
    <w:p>
      <w:pPr>
        <w:ind w:left="1080" w:hanging="241"/>
        <w:spacing w:after="0"/>
        <w:tabs>
          <w:tab w:leader="none" w:pos="10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Includes 3,000 shares held by Mr. Crisp’s wife and 40,000 shares subject to outstanding stock options. Mr. Crisp disclaims beneficial ownership of the shares held by his wife.</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20,000 shares subject to outstanding stock options.</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40,000 shares subject to outstanding stock options.</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20,000 shares subject to outstanding stock options.</w:t>
      </w:r>
    </w:p>
    <w:p>
      <w:pPr>
        <w:spacing w:after="0" w:line="47" w:lineRule="exact"/>
        <w:rPr>
          <w:rFonts w:ascii="Arial" w:cs="Arial" w:eastAsia="Arial" w:hAnsi="Arial"/>
          <w:sz w:val="13"/>
          <w:szCs w:val="13"/>
          <w:color w:val="auto"/>
        </w:rPr>
      </w:pPr>
    </w:p>
    <w:p>
      <w:pPr>
        <w:ind w:left="1080" w:hanging="302"/>
        <w:spacing w:after="0" w:line="276" w:lineRule="auto"/>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99,000 shares subject to outstanding stock options, 7,700 shares subject to certain restrictions on transfer and risk of forfeiture in favor of the Company and 1,084 shares held indirectly through American Superconductor’s 401(k) plan.</w:t>
      </w:r>
    </w:p>
    <w:p>
      <w:pPr>
        <w:spacing w:after="0" w:line="10" w:lineRule="exact"/>
        <w:rPr>
          <w:rFonts w:ascii="Arial" w:cs="Arial" w:eastAsia="Arial" w:hAnsi="Arial"/>
          <w:sz w:val="13"/>
          <w:szCs w:val="13"/>
          <w:color w:val="auto"/>
        </w:rPr>
      </w:pPr>
    </w:p>
    <w:p>
      <w:pPr>
        <w:ind w:left="1080" w:hanging="307"/>
        <w:spacing w:after="0"/>
        <w:tabs>
          <w:tab w:leader="none" w:pos="10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Includes 651 shares held indirectly through American Superconductor’s 401(k) plan. Information is as of July 22, 2011, the last day of Mr. Collett’s employment with the Company.</w:t>
      </w:r>
    </w:p>
    <w:p>
      <w:pPr>
        <w:spacing w:after="0" w:line="58" w:lineRule="exact"/>
        <w:rPr>
          <w:rFonts w:ascii="Arial" w:cs="Arial" w:eastAsia="Arial" w:hAnsi="Arial"/>
          <w:sz w:val="12"/>
          <w:szCs w:val="12"/>
          <w:color w:val="auto"/>
        </w:rPr>
      </w:pPr>
    </w:p>
    <w:p>
      <w:pPr>
        <w:ind w:left="1080" w:hanging="307"/>
        <w:spacing w:after="0" w:line="276" w:lineRule="auto"/>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80,000 shares subject to outstanding stock options and 5,036 shares held indirectly through American Superconductor’s 401(k) plan. Information is as of August 23, 2011, the last day of Mr. Stankiewicz’s employment with the Company.</w:t>
      </w:r>
    </w:p>
    <w:p>
      <w:pPr>
        <w:spacing w:after="0" w:line="10" w:lineRule="exact"/>
        <w:rPr>
          <w:rFonts w:ascii="Arial" w:cs="Arial" w:eastAsia="Arial" w:hAnsi="Arial"/>
          <w:sz w:val="13"/>
          <w:szCs w:val="13"/>
          <w:color w:val="auto"/>
        </w:rPr>
      </w:pPr>
    </w:p>
    <w:p>
      <w:pPr>
        <w:ind w:left="1080" w:hanging="307"/>
        <w:spacing w:after="0" w:line="276" w:lineRule="auto"/>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13,533 shares subject to outstanding stock options, 4,800 shares subject to certain restrictions on transfer and risk of forfeiture in favor of the Company and 1,281 shares held indirectly through American Superconductor’s 401(k) plan.</w:t>
      </w:r>
    </w:p>
    <w:p>
      <w:pPr>
        <w:spacing w:after="0" w:line="10" w:lineRule="exact"/>
        <w:rPr>
          <w:rFonts w:ascii="Arial" w:cs="Arial" w:eastAsia="Arial" w:hAnsi="Arial"/>
          <w:sz w:val="13"/>
          <w:szCs w:val="13"/>
          <w:color w:val="auto"/>
        </w:rPr>
      </w:pPr>
    </w:p>
    <w:p>
      <w:pPr>
        <w:ind w:left="1080" w:hanging="307"/>
        <w:spacing w:after="0" w:line="276" w:lineRule="auto"/>
        <w:tabs>
          <w:tab w:leader="none" w:pos="10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482,331 shares subject to outstanding stock options, 105,332 shares subject to certain restrictions on transfer and risk of forfeiture in favor of the Company and 10,790 shares held indirectly through American Superconductor’s 401(k) plan.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Our Equity Compensation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about the securities authorized for issuance under our equity compensation plans as of March 31, 2011.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Number of Securities</w:t>
            </w:r>
          </w:p>
        </w:tc>
        <w:tc>
          <w:tcPr>
            <w:tcW w:w="24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260" w:type="dxa"/>
            <w:vAlign w:val="bottom"/>
          </w:tcPr>
          <w:p>
            <w:pPr>
              <w:spacing w:after="0"/>
              <w:rPr>
                <w:sz w:val="9"/>
                <w:szCs w:val="9"/>
                <w:color w:val="auto"/>
              </w:rPr>
            </w:pPr>
          </w:p>
        </w:tc>
        <w:tc>
          <w:tcPr>
            <w:tcW w:w="23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Remaining Available</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for Future Issuance Under</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to be Issued Upon</w:t>
            </w:r>
          </w:p>
        </w:tc>
        <w:tc>
          <w:tcPr>
            <w:tcW w:w="24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260" w:type="dxa"/>
            <w:vAlign w:val="bottom"/>
          </w:tcPr>
          <w:p>
            <w:pPr>
              <w:spacing w:after="0"/>
              <w:rPr>
                <w:sz w:val="9"/>
                <w:szCs w:val="9"/>
                <w:color w:val="auto"/>
              </w:rPr>
            </w:pPr>
          </w:p>
        </w:tc>
        <w:tc>
          <w:tcPr>
            <w:tcW w:w="23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Equity Compensation</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Exercise of</w:t>
            </w:r>
          </w:p>
        </w:tc>
        <w:tc>
          <w:tcPr>
            <w:tcW w:w="24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Outstanding</w:t>
            </w:r>
          </w:p>
        </w:tc>
        <w:tc>
          <w:tcPr>
            <w:tcW w:w="260" w:type="dxa"/>
            <w:vAlign w:val="bottom"/>
          </w:tcPr>
          <w:p>
            <w:pPr>
              <w:spacing w:after="0"/>
              <w:rPr>
                <w:sz w:val="9"/>
                <w:szCs w:val="9"/>
                <w:color w:val="auto"/>
              </w:rPr>
            </w:pPr>
          </w:p>
        </w:tc>
        <w:tc>
          <w:tcPr>
            <w:tcW w:w="23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35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5"/>
              </w:rPr>
              <w:t>Outstanding Options,</w:t>
            </w:r>
          </w:p>
        </w:tc>
        <w:tc>
          <w:tcPr>
            <w:tcW w:w="24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6"/>
              </w:rPr>
              <w:t>Options, Warrants</w:t>
            </w:r>
          </w:p>
        </w:tc>
        <w:tc>
          <w:tcPr>
            <w:tcW w:w="26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0"/>
                <w:szCs w:val="10"/>
                <w:b w:val="1"/>
                <w:bCs w:val="1"/>
                <w:color w:val="auto"/>
                <w:w w:val="91"/>
              </w:rPr>
              <w:t>Securities Reflected in</w:t>
            </w:r>
          </w:p>
        </w:tc>
        <w:tc>
          <w:tcPr>
            <w:tcW w:w="0" w:type="dxa"/>
            <w:vAlign w:val="bottom"/>
          </w:tcPr>
          <w:p>
            <w:pPr>
              <w:spacing w:after="0"/>
              <w:rPr>
                <w:sz w:val="1"/>
                <w:szCs w:val="1"/>
                <w:color w:val="auto"/>
              </w:rPr>
            </w:pPr>
          </w:p>
        </w:tc>
      </w:tr>
      <w:tr>
        <w:trPr>
          <w:trHeight w:val="125"/>
        </w:trPr>
        <w:tc>
          <w:tcPr>
            <w:tcW w:w="3520" w:type="dxa"/>
            <w:vAlign w:val="bottom"/>
            <w:vMerge w:val="continue"/>
          </w:tcPr>
          <w:p>
            <w:pPr>
              <w:spacing w:after="0"/>
              <w:rPr>
                <w:sz w:val="10"/>
                <w:szCs w:val="1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4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and Rights</w:t>
            </w:r>
          </w:p>
        </w:tc>
        <w:tc>
          <w:tcPr>
            <w:tcW w:w="260" w:type="dxa"/>
            <w:vAlign w:val="bottom"/>
          </w:tcPr>
          <w:p>
            <w:pPr>
              <w:spacing w:after="0"/>
              <w:rPr>
                <w:sz w:val="10"/>
                <w:szCs w:val="1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Column (a))</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020" w:type="dxa"/>
            <w:vAlign w:val="bottom"/>
          </w:tcPr>
          <w:p>
            <w:pPr>
              <w:jc w:val="right"/>
              <w:ind w:right="545"/>
              <w:spacing w:after="0"/>
              <w:rPr>
                <w:sz w:val="20"/>
                <w:szCs w:val="20"/>
                <w:color w:val="auto"/>
              </w:rPr>
            </w:pPr>
            <w:r>
              <w:rPr>
                <w:rFonts w:ascii="Arial" w:cs="Arial" w:eastAsia="Arial" w:hAnsi="Arial"/>
                <w:sz w:val="13"/>
                <w:szCs w:val="13"/>
                <w:color w:val="auto"/>
              </w:rPr>
              <w:t>2,004,725(1)</w:t>
            </w:r>
          </w:p>
        </w:tc>
        <w:tc>
          <w:tcPr>
            <w:tcW w:w="1840" w:type="dxa"/>
            <w:vAlign w:val="bottom"/>
            <w:gridSpan w:val="2"/>
          </w:tcPr>
          <w:p>
            <w:pPr>
              <w:jc w:val="right"/>
              <w:ind w:right="588"/>
              <w:spacing w:after="0"/>
              <w:rPr>
                <w:sz w:val="20"/>
                <w:szCs w:val="20"/>
                <w:color w:val="auto"/>
              </w:rPr>
            </w:pPr>
            <w:r>
              <w:rPr>
                <w:rFonts w:ascii="Arial" w:cs="Arial" w:eastAsia="Arial" w:hAnsi="Arial"/>
                <w:sz w:val="13"/>
                <w:szCs w:val="13"/>
                <w:color w:val="auto"/>
              </w:rPr>
              <w:t>$22.29</w:t>
            </w:r>
          </w:p>
        </w:tc>
        <w:tc>
          <w:tcPr>
            <w:tcW w:w="2600" w:type="dxa"/>
            <w:vAlign w:val="bottom"/>
            <w:gridSpan w:val="2"/>
          </w:tcPr>
          <w:p>
            <w:pPr>
              <w:jc w:val="right"/>
              <w:ind w:right="708"/>
              <w:spacing w:after="0"/>
              <w:rPr>
                <w:sz w:val="20"/>
                <w:szCs w:val="20"/>
                <w:color w:val="auto"/>
              </w:rPr>
            </w:pPr>
            <w:r>
              <w:rPr>
                <w:rFonts w:ascii="Arial" w:cs="Arial" w:eastAsia="Arial" w:hAnsi="Arial"/>
                <w:sz w:val="13"/>
                <w:szCs w:val="13"/>
                <w:color w:val="auto"/>
              </w:rPr>
              <w:t>4,093,641(2)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259"/>
        <w:spacing w:after="0" w:line="276" w:lineRule="auto"/>
        <w:tabs>
          <w:tab w:leader="none" w:pos="10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Excludes shares issuable under our 2000 Employee Stock Purchase Plan in connection with the current offering period which ends on September 30, 2011. Such shares are included in column (c).</w:t>
      </w:r>
    </w:p>
    <w:p>
      <w:pPr>
        <w:spacing w:after="0" w:line="10" w:lineRule="exact"/>
        <w:rPr>
          <w:rFonts w:ascii="Arial" w:cs="Arial" w:eastAsia="Arial" w:hAnsi="Arial"/>
          <w:sz w:val="13"/>
          <w:szCs w:val="13"/>
          <w:color w:val="auto"/>
        </w:rPr>
      </w:pPr>
    </w:p>
    <w:p>
      <w:pPr>
        <w:jc w:val="both"/>
        <w:ind w:left="1000" w:hanging="259"/>
        <w:spacing w:after="0" w:line="296" w:lineRule="auto"/>
        <w:tabs>
          <w:tab w:leader="none" w:pos="10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 addition to being available for future issuance upon exercise of options that may be granted after March 31, 2011, 3,339,884 shares available for issuance under our 2007 Stock Incentive Plan may instead be issued in the form of restricted stock, unrestricted stock, stock appreciation rights, performance shares or other equity-based awards. The above amounts include 226,000 shares available under the 2007 Director Plan and 527,757 shares available under the 2000 Employee Stock Purchase Plan on March 31, 2011.</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Board has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If a related person proposes to enter into such a transaction, arrangement or relationship, which we refer to as a “related person transaction,” the related person must report the proposed related person transaction to our chief financial officer.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72"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A related person transaction reviewed under the policy will be considered approved or ratified if it is authorized by the Audit Committee after full disclosure of the related person’s interest in the transaction. The Audit Committee will review and consider such information regarding the transaction as it deems appropriate under the circumstances.</w:t>
      </w:r>
    </w:p>
    <w:p>
      <w:pPr>
        <w:spacing w:after="0" w:line="3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Audit Committee may approve or ratify the transaction only if the Audit Committee determines that, under all of the circumstances, the transaction is in our best interests. The Audit Committee may impose any conditions on the related person transaction that it deems appropriate.</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addition to the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jc w:val="both"/>
        <w:ind w:left="1280" w:hanging="190"/>
        <w:spacing w:after="0" w:line="289" w:lineRule="auto"/>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and</w:t>
      </w:r>
    </w:p>
    <w:p>
      <w:pPr>
        <w:spacing w:after="0" w:line="43" w:lineRule="exact"/>
        <w:rPr>
          <w:rFonts w:ascii="Arial" w:cs="Arial" w:eastAsia="Arial" w:hAnsi="Arial"/>
          <w:sz w:val="12"/>
          <w:szCs w:val="12"/>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 transaction that is specifically contemplated by provisions of our charter or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policy provides that transactions involving compensation of executive officers shall be reviewed and approved by the Compensation Committee in the manner specified in its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charter.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the beginning of fiscal 2010, there have been no related person transactions.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Determination of Independence</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Under applicable NASDAQ rules, a director will only qualify as an “independent director” if, in the opinion of our Board, that person does not have a relationship that would interfere with the exercise of independent judgment in carrying out the responsibilities of a director. Our Board has determined that Mr. Budhraja, Mr. Crisp, Mr. Drouin, Ms. Lenehan, Mr. Oliver, Dr. Vander Sande and Mr. Wood do not have relationships that would interfere with the exercise of independent judgment in carrying out the responsibilities of a director and that each of these directors is an “independent director” as defined under Rule 5605(a)(2) of the NASDAQ Stock Market, Inc. Listing Rules.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and Tax Fees for Fiscal 2009 and 2010</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fees of PricewaterhouseCoopers LLP, our independent registered public accounting firm, billed to us for each of the last two fiscal years: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Fee Category</w:t>
            </w:r>
          </w:p>
        </w:tc>
        <w:tc>
          <w:tcPr>
            <w:tcW w:w="220" w:type="dxa"/>
            <w:vAlign w:val="bottom"/>
          </w:tcPr>
          <w:p>
            <w:pPr>
              <w:spacing w:after="0"/>
              <w:rPr>
                <w:sz w:val="10"/>
                <w:szCs w:val="10"/>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Fiscal Year Ended March 31,</w:t>
            </w:r>
          </w:p>
        </w:tc>
        <w:tc>
          <w:tcPr>
            <w:tcW w:w="0" w:type="dxa"/>
            <w:vAlign w:val="bottom"/>
          </w:tcPr>
          <w:p>
            <w:pPr>
              <w:spacing w:after="0"/>
              <w:rPr>
                <w:sz w:val="1"/>
                <w:szCs w:val="1"/>
                <w:color w:val="auto"/>
              </w:rPr>
            </w:pPr>
          </w:p>
        </w:tc>
      </w:tr>
      <w:tr>
        <w:trPr>
          <w:trHeight w:val="108"/>
        </w:trPr>
        <w:tc>
          <w:tcPr>
            <w:tcW w:w="7700" w:type="dxa"/>
            <w:vAlign w:val="bottom"/>
            <w:gridSpan w:val="3"/>
            <w:vMerge w:val="continue"/>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279"/>
              <w:spacing w:after="0" w:line="10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277"/>
              <w:spacing w:after="0" w:line="10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Audit Fees(1)</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3,581,556</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1,397,506</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Tax Fees(2)</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365,591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132,739</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Other(3)</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129,902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2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 Fees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7620" w:type="dxa"/>
            <w:vAlign w:val="bottom"/>
            <w:gridSpan w:val="2"/>
            <w:vMerge w:val="continue"/>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4,077,049</w:t>
            </w:r>
          </w:p>
        </w:tc>
        <w:tc>
          <w:tcPr>
            <w:tcW w:w="40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1,530,245</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line="276" w:lineRule="auto"/>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Audit fees consist of fees for the audit of our annual financial statements, the audit of our internal control over financial reporting, the review of the interim financial statements included in our quarterly reports on Form 10-Q, and other professional services provided in connection with statutory and regulatory filings or engagements.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Tax fees consist of fees for tax compliance, tax advice and tax planning services.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Other fees consist of fees for acquisition-related services.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Policies and Procedures</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Audit Committee has adopted policies and procedures relating to the approval of all audit and non-audit services that are to be performed by our independent registered public accounting firm. This policy generally provides that we will not engage our registered public accounting firm to render audit or non-audit services unless the service is specifically approved in advance by the Audit Committee or the engagement is entered into pursuant to one of the pre-approval procedures described below. All services provided to us by PricewaterhouseCoopers LLP in each of fiscal 2010 and fiscal 2009 were approved in accordance with this policy.</w:t>
      </w:r>
    </w:p>
    <w:p>
      <w:pPr>
        <w:spacing w:after="0" w:line="70"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From time to time, the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w:t>
      </w:r>
    </w:p>
    <w:p>
      <w:pPr>
        <w:spacing w:after="0" w:line="35"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The Audit Committee has also delegated to the chairman of the Audit Committee the authority to approve any audit or non-audit services to be provided to us by our registered public accounting firm. Any approval of services by a member of the Audit Committee pursuant to this delegated authority is reported on at the next meeting of the Audit Committee.</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1080" w:right="6200" w:firstLine="6"/>
        <w:spacing w:after="0" w:line="394" w:lineRule="auto"/>
        <w:tabs>
          <w:tab w:leader="none" w:pos="1258" w:val="left"/>
        </w:tabs>
        <w:numPr>
          <w:ilvl w:val="0"/>
          <w:numId w:val="81"/>
        </w:numPr>
        <w:rPr>
          <w:rFonts w:ascii="Arial" w:cs="Arial" w:eastAsia="Arial" w:hAnsi="Arial"/>
          <w:sz w:val="13"/>
          <w:szCs w:val="13"/>
          <w:color w:val="auto"/>
        </w:rPr>
      </w:pPr>
      <w:r>
        <w:rPr>
          <w:rFonts w:ascii="Arial" w:cs="Arial" w:eastAsia="Arial" w:hAnsi="Arial"/>
          <w:sz w:val="13"/>
          <w:szCs w:val="13"/>
          <w:color w:val="auto"/>
        </w:rPr>
        <w:t>Document filed as part of this Annual Report on Form 10-K: 1. Financial Statements</w:t>
      </w:r>
    </w:p>
    <w:p>
      <w:pPr>
        <w:spacing w:after="0" w:line="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080" w:type="dxa"/>
            <w:vAlign w:val="bottom"/>
            <w:tcBorders>
              <w:bottom w:val="single" w:sz="8" w:color="0000EE"/>
            </w:tcBorders>
            <w:gridSpan w:val="3"/>
          </w:tcPr>
          <w:p>
            <w:pPr>
              <w:spacing w:after="0"/>
              <w:rPr>
                <w:rFonts w:ascii="Arial" w:cs="Arial" w:eastAsia="Arial" w:hAnsi="Arial"/>
                <w:sz w:val="13"/>
                <w:szCs w:val="13"/>
                <w:color w:val="0000EE"/>
                <w:w w:val="92"/>
              </w:rPr>
            </w:pPr>
            <w:hyperlink w:anchor="page65">
              <w:r>
                <w:rPr>
                  <w:rFonts w:ascii="Arial" w:cs="Arial" w:eastAsia="Arial" w:hAnsi="Arial"/>
                  <w:sz w:val="13"/>
                  <w:szCs w:val="13"/>
                  <w:color w:val="0000EE"/>
                  <w:w w:val="92"/>
                </w:rPr>
                <w:t>Report of Independent Registered Public Accounting Firm</w:t>
              </w:r>
            </w:hyperlink>
          </w:p>
        </w:tc>
        <w:tc>
          <w:tcPr>
            <w:tcW w:w="2760" w:type="dxa"/>
            <w:vAlign w:val="bottom"/>
            <w:gridSpan w:val="4"/>
          </w:tcPr>
          <w:p>
            <w:pPr>
              <w:spacing w:after="0"/>
              <w:rPr>
                <w:sz w:val="13"/>
                <w:szCs w:val="13"/>
                <w:color w:val="auto"/>
              </w:rPr>
            </w:pPr>
          </w:p>
        </w:tc>
        <w:tc>
          <w:tcPr>
            <w:tcW w:w="40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37"/>
        </w:trPr>
        <w:tc>
          <w:tcPr>
            <w:tcW w:w="30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67">
              <w:r>
                <w:rPr>
                  <w:rFonts w:ascii="Arial" w:cs="Arial" w:eastAsia="Arial" w:hAnsi="Arial"/>
                  <w:sz w:val="13"/>
                  <w:szCs w:val="13"/>
                  <w:color w:val="0000EE"/>
                  <w:w w:val="89"/>
                </w:rPr>
                <w:t>Consolidated Balance Sheets at March 31, 2011 and 2010</w:t>
              </w:r>
            </w:hyperlink>
          </w:p>
        </w:tc>
        <w:tc>
          <w:tcPr>
            <w:tcW w:w="2800" w:type="dxa"/>
            <w:vAlign w:val="bottom"/>
            <w:gridSpan w:val="5"/>
          </w:tcPr>
          <w:p>
            <w:pPr>
              <w:spacing w:after="0"/>
              <w:rPr>
                <w:sz w:val="11"/>
                <w:szCs w:val="11"/>
                <w:color w:val="auto"/>
              </w:rPr>
            </w:pP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480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68">
              <w:r>
                <w:rPr>
                  <w:rFonts w:ascii="Arial" w:cs="Arial" w:eastAsia="Arial" w:hAnsi="Arial"/>
                  <w:sz w:val="13"/>
                  <w:szCs w:val="13"/>
                  <w:color w:val="0000EE"/>
                  <w:w w:val="90"/>
                </w:rPr>
                <w:t>Consolidated Statements of Operations for the years ended March 31, 2011, 2010 and 2009</w:t>
              </w:r>
            </w:hyperlink>
          </w:p>
        </w:tc>
        <w:tc>
          <w:tcPr>
            <w:tcW w:w="1040" w:type="dxa"/>
            <w:vAlign w:val="bottom"/>
            <w:gridSpan w:val="3"/>
          </w:tcPr>
          <w:p>
            <w:pPr>
              <w:spacing w:after="0"/>
              <w:rPr>
                <w:sz w:val="11"/>
                <w:szCs w:val="11"/>
                <w:color w:val="auto"/>
              </w:rPr>
            </w:pP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r>
      <w:tr>
        <w:trPr>
          <w:trHeight w:val="137"/>
        </w:trPr>
        <w:tc>
          <w:tcPr>
            <w:tcW w:w="4840" w:type="dxa"/>
            <w:vAlign w:val="bottom"/>
            <w:tcBorders>
              <w:bottom w:val="single" w:sz="8" w:color="0000EE"/>
            </w:tcBorders>
            <w:gridSpan w:val="5"/>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Consolidated Statements of Cash Flows for the years ended March 31, 2011, 2010 and 2009</w:t>
              </w:r>
            </w:hyperlink>
          </w:p>
        </w:tc>
        <w:tc>
          <w:tcPr>
            <w:tcW w:w="1000" w:type="dxa"/>
            <w:vAlign w:val="bottom"/>
            <w:gridSpan w:val="2"/>
          </w:tcPr>
          <w:p>
            <w:pPr>
              <w:spacing w:after="0"/>
              <w:rPr>
                <w:sz w:val="11"/>
                <w:szCs w:val="11"/>
                <w:color w:val="auto"/>
              </w:rPr>
            </w:pP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5840" w:type="dxa"/>
            <w:vAlign w:val="bottom"/>
            <w:gridSpan w:val="7"/>
          </w:tcPr>
          <w:p>
            <w:pPr>
              <w:spacing w:after="0" w:line="138" w:lineRule="exact"/>
              <w:rPr>
                <w:rFonts w:ascii="Arial" w:cs="Arial" w:eastAsia="Arial" w:hAnsi="Arial"/>
                <w:sz w:val="13"/>
                <w:szCs w:val="13"/>
                <w:color w:val="0000EE"/>
                <w:w w:val="99"/>
              </w:rPr>
            </w:pPr>
            <w:hyperlink w:anchor="page70">
              <w:r>
                <w:rPr>
                  <w:rFonts w:ascii="Arial" w:cs="Arial" w:eastAsia="Arial" w:hAnsi="Arial"/>
                  <w:sz w:val="13"/>
                  <w:szCs w:val="13"/>
                  <w:color w:val="0000EE"/>
                  <w:w w:val="99"/>
                </w:rPr>
                <w:t>Consolidated Statements of Stockholders’ Equity for the years ended March 31, 2011, 2010 and 2009</w:t>
              </w:r>
            </w:hyperlink>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65</w:t>
            </w:r>
          </w:p>
        </w:tc>
      </w:tr>
      <w:tr>
        <w:trPr>
          <w:trHeight w:val="20"/>
        </w:trPr>
        <w:tc>
          <w:tcPr>
            <w:tcW w:w="2500" w:type="dxa"/>
            <w:vAlign w:val="bottom"/>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37"/>
        </w:trPr>
        <w:tc>
          <w:tcPr>
            <w:tcW w:w="584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71">
              <w:r>
                <w:rPr>
                  <w:rFonts w:ascii="Arial" w:cs="Arial" w:eastAsia="Arial" w:hAnsi="Arial"/>
                  <w:sz w:val="13"/>
                  <w:szCs w:val="13"/>
                  <w:color w:val="0000EE"/>
                  <w:w w:val="90"/>
                </w:rPr>
                <w:t>Consolidated Statements of Comprehensive (Loss) Income for the years ended March 31, 2011, 2010 and 2009</w:t>
              </w:r>
            </w:hyperlink>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137"/>
        </w:trPr>
        <w:tc>
          <w:tcPr>
            <w:tcW w:w="250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72">
              <w:r>
                <w:rPr>
                  <w:rFonts w:ascii="Arial" w:cs="Arial" w:eastAsia="Arial" w:hAnsi="Arial"/>
                  <w:sz w:val="13"/>
                  <w:szCs w:val="13"/>
                  <w:color w:val="0000EE"/>
                  <w:w w:val="90"/>
                </w:rPr>
                <w:t>Notes to the Consolidated Financial Statements</w:t>
              </w:r>
            </w:hyperlink>
          </w:p>
        </w:tc>
        <w:tc>
          <w:tcPr>
            <w:tcW w:w="3340" w:type="dxa"/>
            <w:vAlign w:val="bottom"/>
            <w:gridSpan w:val="6"/>
          </w:tcPr>
          <w:p>
            <w:pPr>
              <w:spacing w:after="0"/>
              <w:rPr>
                <w:sz w:val="11"/>
                <w:szCs w:val="11"/>
                <w:color w:val="auto"/>
              </w:rPr>
            </w:pP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r>
    </w:tbl>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2. Financial Statement Schedules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See “Schedule II — Valuation and Qualifying Accounts” for the fiscal years ended March 31, 2011, 2010, and 2009. All other schedules are omitted because they are not applicable, not required or the required information is shown in the consolidated financial statements or notes thereto.</w:t>
      </w:r>
    </w:p>
    <w:p>
      <w:pPr>
        <w:spacing w:after="0" w:line="59" w:lineRule="exact"/>
        <w:rPr>
          <w:sz w:val="20"/>
          <w:szCs w:val="20"/>
          <w:color w:val="auto"/>
        </w:rPr>
      </w:pPr>
    </w:p>
    <w:p>
      <w:pPr>
        <w:ind w:left="1080" w:right="5500" w:firstLine="6"/>
        <w:spacing w:after="0" w:line="394" w:lineRule="auto"/>
        <w:tabs>
          <w:tab w:leader="none" w:pos="1211" w:val="left"/>
        </w:tabs>
        <w:numPr>
          <w:ilvl w:val="0"/>
          <w:numId w:val="82"/>
        </w:numPr>
        <w:rPr>
          <w:rFonts w:ascii="Arial" w:cs="Arial" w:eastAsia="Arial" w:hAnsi="Arial"/>
          <w:sz w:val="13"/>
          <w:szCs w:val="13"/>
          <w:color w:val="auto"/>
        </w:rPr>
      </w:pPr>
      <w:r>
        <w:rPr>
          <w:rFonts w:ascii="Arial" w:cs="Arial" w:eastAsia="Arial" w:hAnsi="Arial"/>
          <w:sz w:val="13"/>
          <w:szCs w:val="13"/>
          <w:color w:val="auto"/>
        </w:rPr>
        <w:t>Exhibits Required by Item 601 of Regulation S-K under the Exchange Act. See (b) Exhibits.</w:t>
      </w:r>
    </w:p>
    <w:p>
      <w:pPr>
        <w:ind w:left="1080"/>
        <w:spacing w:after="0"/>
        <w:rPr>
          <w:rFonts w:ascii="Arial" w:cs="Arial" w:eastAsia="Arial" w:hAnsi="Arial"/>
          <w:sz w:val="13"/>
          <w:szCs w:val="13"/>
          <w:color w:val="auto"/>
        </w:rPr>
      </w:pPr>
      <w:r>
        <w:rPr>
          <w:rFonts w:ascii="Arial" w:cs="Arial" w:eastAsia="Arial" w:hAnsi="Arial"/>
          <w:sz w:val="13"/>
          <w:szCs w:val="13"/>
          <w:color w:val="auto"/>
        </w:rPr>
        <w:t>(b) Exhibits</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2"/>
          <w:szCs w:val="12"/>
          <w:color w:val="auto"/>
        </w:rPr>
        <w:t>The list of Exhibits filed as a part of this Annual Report on Form 10-K is set forth on the Exhibit Index immediately preceding such Exhibits, and is incorporated herein by reference.</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center"/>
              <w:ind w:right="120"/>
              <w:spacing w:after="0"/>
              <w:rPr>
                <w:sz w:val="20"/>
                <w:szCs w:val="20"/>
                <w:color w:val="auto"/>
              </w:rPr>
            </w:pPr>
            <w:r>
              <w:rPr>
                <w:rFonts w:ascii="Arial" w:cs="Arial" w:eastAsia="Arial" w:hAnsi="Arial"/>
                <w:sz w:val="10"/>
                <w:szCs w:val="10"/>
                <w:b w:val="1"/>
                <w:bCs w:val="1"/>
                <w:color w:val="auto"/>
                <w:w w:val="92"/>
              </w:rPr>
              <w:t>Balance,</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1"/>
              </w:rPr>
              <w:t>Recoveries and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221"/>
              <w:spacing w:after="0"/>
              <w:rPr>
                <w:sz w:val="20"/>
                <w:szCs w:val="20"/>
                <w:color w:val="auto"/>
              </w:rPr>
            </w:pPr>
            <w:r>
              <w:rPr>
                <w:rFonts w:ascii="Arial" w:cs="Arial" w:eastAsia="Arial" w:hAnsi="Arial"/>
                <w:sz w:val="10"/>
                <w:szCs w:val="10"/>
                <w:b w:val="1"/>
                <w:bCs w:val="1"/>
                <w:color w:val="auto"/>
                <w:w w:val="92"/>
              </w:rPr>
              <w:t>Balance,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60" w:type="dxa"/>
            <w:vAlign w:val="bottom"/>
            <w:gridSpan w:val="2"/>
          </w:tcPr>
          <w:p>
            <w:pPr>
              <w:jc w:val="center"/>
              <w:ind w:left="121"/>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Additions</w:t>
            </w:r>
          </w:p>
        </w:tc>
        <w:tc>
          <w:tcPr>
            <w:tcW w:w="240" w:type="dxa"/>
            <w:vAlign w:val="bottom"/>
          </w:tcPr>
          <w:p>
            <w:pPr>
              <w:spacing w:after="0"/>
              <w:rPr>
                <w:sz w:val="9"/>
                <w:szCs w:val="9"/>
                <w:color w:val="auto"/>
              </w:rPr>
            </w:pPr>
          </w:p>
        </w:tc>
        <w:tc>
          <w:tcPr>
            <w:tcW w:w="980" w:type="dxa"/>
            <w:vAlign w:val="bottom"/>
            <w:vMerge w:val="restart"/>
          </w:tcPr>
          <w:p>
            <w:pPr>
              <w:jc w:val="right"/>
              <w:ind w:right="183"/>
              <w:spacing w:after="0"/>
              <w:rPr>
                <w:sz w:val="20"/>
                <w:szCs w:val="20"/>
                <w:color w:val="auto"/>
              </w:rPr>
            </w:pPr>
            <w:r>
              <w:rPr>
                <w:rFonts w:ascii="Arial" w:cs="Arial" w:eastAsia="Arial" w:hAnsi="Arial"/>
                <w:sz w:val="10"/>
                <w:szCs w:val="10"/>
                <w:b w:val="1"/>
                <w:bCs w:val="1"/>
                <w:color w:val="auto"/>
              </w:rPr>
              <w:t>Write-Offs</w:t>
            </w:r>
          </w:p>
        </w:tc>
        <w:tc>
          <w:tcPr>
            <w:tcW w:w="24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Other</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jc w:val="center"/>
              <w:ind w:right="221"/>
              <w:spacing w:after="0" w:line="108" w:lineRule="exact"/>
              <w:rPr>
                <w:sz w:val="20"/>
                <w:szCs w:val="20"/>
                <w:color w:val="auto"/>
              </w:rPr>
            </w:pPr>
            <w:r>
              <w:rPr>
                <w:rFonts w:ascii="Arial" w:cs="Arial" w:eastAsia="Arial" w:hAnsi="Arial"/>
                <w:sz w:val="10"/>
                <w:szCs w:val="10"/>
                <w:b w:val="1"/>
                <w:bCs w:val="1"/>
                <w:color w:val="auto"/>
                <w:w w:val="96"/>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rPr>
              <w:t>Year</w:t>
            </w: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Adjustments</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201"/>
              <w:spacing w:after="0"/>
              <w:rPr>
                <w:sz w:val="20"/>
                <w:szCs w:val="20"/>
                <w:color w:val="auto"/>
              </w:rPr>
            </w:pPr>
            <w:r>
              <w:rPr>
                <w:rFonts w:ascii="Arial" w:cs="Arial" w:eastAsia="Arial" w:hAnsi="Arial"/>
                <w:sz w:val="10"/>
                <w:szCs w:val="10"/>
                <w:b w:val="1"/>
                <w:bCs w:val="1"/>
                <w:color w:val="auto"/>
                <w:w w:val="92"/>
              </w:rPr>
              <w:t>Year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Fiscal year ended March 31, 2011</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20"/>
              <w:spacing w:after="0"/>
              <w:rPr>
                <w:sz w:val="20"/>
                <w:szCs w:val="20"/>
                <w:color w:val="auto"/>
              </w:rPr>
            </w:pPr>
            <w:r>
              <w:rPr>
                <w:rFonts w:ascii="Arial" w:cs="Arial" w:eastAsia="Arial" w:hAnsi="Arial"/>
                <w:sz w:val="13"/>
                <w:szCs w:val="13"/>
                <w:color w:val="auto"/>
              </w:rPr>
              <w:t>766</w:t>
            </w:r>
          </w:p>
        </w:tc>
        <w:tc>
          <w:tcPr>
            <w:tcW w:w="1300" w:type="dxa"/>
            <w:vAlign w:val="bottom"/>
            <w:gridSpan w:val="3"/>
          </w:tcPr>
          <w:p>
            <w:pPr>
              <w:jc w:val="right"/>
              <w:ind w:right="208"/>
              <w:spacing w:after="0"/>
              <w:rPr>
                <w:sz w:val="20"/>
                <w:szCs w:val="20"/>
                <w:color w:val="auto"/>
              </w:rPr>
            </w:pPr>
            <w:r>
              <w:rPr>
                <w:rFonts w:ascii="Arial" w:cs="Arial" w:eastAsia="Arial" w:hAnsi="Arial"/>
                <w:sz w:val="13"/>
                <w:szCs w:val="13"/>
                <w:color w:val="auto"/>
              </w:rPr>
              <w:t>28</w:t>
            </w:r>
          </w:p>
        </w:tc>
        <w:tc>
          <w:tcPr>
            <w:tcW w:w="1220" w:type="dxa"/>
            <w:vAlign w:val="bottom"/>
            <w:gridSpan w:val="2"/>
          </w:tcPr>
          <w:p>
            <w:pPr>
              <w:jc w:val="right"/>
              <w:ind w:right="183"/>
              <w:spacing w:after="0"/>
              <w:rPr>
                <w:sz w:val="20"/>
                <w:szCs w:val="20"/>
                <w:color w:val="auto"/>
              </w:rPr>
            </w:pPr>
            <w:r>
              <w:rPr>
                <w:rFonts w:ascii="Arial" w:cs="Arial" w:eastAsia="Arial" w:hAnsi="Arial"/>
                <w:sz w:val="13"/>
                <w:szCs w:val="13"/>
                <w:color w:val="auto"/>
              </w:rPr>
              <w:t>(118)</w:t>
            </w:r>
          </w:p>
        </w:tc>
        <w:tc>
          <w:tcPr>
            <w:tcW w:w="1480" w:type="dxa"/>
            <w:vAlign w:val="bottom"/>
            <w:gridSpan w:val="2"/>
          </w:tcPr>
          <w:p>
            <w:pPr>
              <w:jc w:val="right"/>
              <w:ind w:right="388"/>
              <w:spacing w:after="0"/>
              <w:rPr>
                <w:sz w:val="20"/>
                <w:szCs w:val="20"/>
                <w:color w:val="auto"/>
              </w:rPr>
            </w:pPr>
            <w:r>
              <w:rPr>
                <w:rFonts w:ascii="Arial" w:cs="Arial" w:eastAsia="Arial" w:hAnsi="Arial"/>
                <w:sz w:val="13"/>
                <w:szCs w:val="13"/>
                <w:color w:val="auto"/>
              </w:rPr>
              <w:t>7</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March 31, 2010</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1,343</w:t>
            </w:r>
          </w:p>
        </w:tc>
        <w:tc>
          <w:tcPr>
            <w:tcW w:w="130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286</w:t>
            </w:r>
          </w:p>
        </w:tc>
        <w:tc>
          <w:tcPr>
            <w:tcW w:w="1220" w:type="dxa"/>
            <w:vAlign w:val="bottom"/>
            <w:gridSpan w:val="2"/>
            <w:shd w:val="clear" w:color="auto" w:fill="CCEEFF"/>
          </w:tcPr>
          <w:p>
            <w:pPr>
              <w:jc w:val="right"/>
              <w:ind w:right="183"/>
              <w:spacing w:after="0"/>
              <w:rPr>
                <w:sz w:val="20"/>
                <w:szCs w:val="20"/>
                <w:color w:val="auto"/>
              </w:rPr>
            </w:pPr>
            <w:r>
              <w:rPr>
                <w:rFonts w:ascii="Arial" w:cs="Arial" w:eastAsia="Arial" w:hAnsi="Arial"/>
                <w:sz w:val="13"/>
                <w:szCs w:val="13"/>
                <w:color w:val="auto"/>
              </w:rPr>
              <w:t>(54)</w:t>
            </w:r>
          </w:p>
        </w:tc>
        <w:tc>
          <w:tcPr>
            <w:tcW w:w="14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(809)</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Fiscal year ended March 31, 2009</w:t>
            </w:r>
          </w:p>
        </w:tc>
        <w:tc>
          <w:tcPr>
            <w:tcW w:w="36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3"/>
                <w:szCs w:val="13"/>
                <w:color w:val="auto"/>
              </w:rPr>
              <w:t>5</w:t>
            </w:r>
          </w:p>
        </w:tc>
        <w:tc>
          <w:tcPr>
            <w:tcW w:w="1300" w:type="dxa"/>
            <w:vAlign w:val="bottom"/>
            <w:gridSpan w:val="3"/>
          </w:tcPr>
          <w:p>
            <w:pPr>
              <w:jc w:val="right"/>
              <w:ind w:right="208"/>
              <w:spacing w:after="0"/>
              <w:rPr>
                <w:sz w:val="20"/>
                <w:szCs w:val="20"/>
                <w:color w:val="auto"/>
              </w:rPr>
            </w:pPr>
            <w:r>
              <w:rPr>
                <w:rFonts w:ascii="Arial" w:cs="Arial" w:eastAsia="Arial" w:hAnsi="Arial"/>
                <w:sz w:val="13"/>
                <w:szCs w:val="13"/>
                <w:color w:val="auto"/>
              </w:rPr>
              <w:t>1,652</w:t>
            </w:r>
          </w:p>
        </w:tc>
        <w:tc>
          <w:tcPr>
            <w:tcW w:w="1220" w:type="dxa"/>
            <w:vAlign w:val="bottom"/>
            <w:gridSpan w:val="2"/>
          </w:tcPr>
          <w:p>
            <w:pPr>
              <w:jc w:val="right"/>
              <w:ind w:right="183"/>
              <w:spacing w:after="0"/>
              <w:rPr>
                <w:sz w:val="20"/>
                <w:szCs w:val="20"/>
                <w:color w:val="auto"/>
              </w:rPr>
            </w:pPr>
            <w:r>
              <w:rPr>
                <w:rFonts w:ascii="Arial" w:cs="Arial" w:eastAsia="Arial" w:hAnsi="Arial"/>
                <w:sz w:val="13"/>
                <w:szCs w:val="13"/>
                <w:color w:val="auto"/>
              </w:rPr>
              <w:t>(203)</w:t>
            </w:r>
          </w:p>
        </w:tc>
        <w:tc>
          <w:tcPr>
            <w:tcW w:w="1480" w:type="dxa"/>
            <w:vAlign w:val="bottom"/>
            <w:gridSpan w:val="2"/>
          </w:tcPr>
          <w:p>
            <w:pPr>
              <w:jc w:val="right"/>
              <w:ind w:right="348"/>
              <w:spacing w:after="0"/>
              <w:rPr>
                <w:sz w:val="20"/>
                <w:szCs w:val="20"/>
                <w:color w:val="auto"/>
              </w:rPr>
            </w:pPr>
            <w:r>
              <w:rPr>
                <w:rFonts w:ascii="Arial" w:cs="Arial" w:eastAsia="Arial" w:hAnsi="Arial"/>
                <w:sz w:val="13"/>
                <w:szCs w:val="13"/>
                <w:color w:val="auto"/>
              </w:rPr>
              <w:t>(111)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1,343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center"/>
              <w:ind w:right="120"/>
              <w:spacing w:after="0"/>
              <w:rPr>
                <w:sz w:val="20"/>
                <w:szCs w:val="20"/>
                <w:color w:val="auto"/>
              </w:rPr>
            </w:pPr>
            <w:r>
              <w:rPr>
                <w:rFonts w:ascii="Arial" w:cs="Arial" w:eastAsia="Arial" w:hAnsi="Arial"/>
                <w:sz w:val="10"/>
                <w:szCs w:val="10"/>
                <w:b w:val="1"/>
                <w:bCs w:val="1"/>
                <w:color w:val="auto"/>
                <w:w w:val="92"/>
              </w:rPr>
              <w:t>Balance,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center"/>
              <w:ind w:right="221"/>
              <w:spacing w:after="0"/>
              <w:rPr>
                <w:sz w:val="20"/>
                <w:szCs w:val="20"/>
                <w:color w:val="auto"/>
              </w:rPr>
            </w:pPr>
            <w:r>
              <w:rPr>
                <w:rFonts w:ascii="Arial" w:cs="Arial" w:eastAsia="Arial" w:hAnsi="Arial"/>
                <w:sz w:val="10"/>
                <w:szCs w:val="10"/>
                <w:b w:val="1"/>
                <w:bCs w:val="1"/>
                <w:color w:val="auto"/>
                <w:w w:val="92"/>
              </w:rPr>
              <w:t>Balance,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60" w:type="dxa"/>
            <w:vAlign w:val="bottom"/>
            <w:gridSpan w:val="2"/>
          </w:tcPr>
          <w:p>
            <w:pPr>
              <w:jc w:val="center"/>
              <w:ind w:left="121"/>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Additions</w:t>
            </w:r>
          </w:p>
        </w:tc>
        <w:tc>
          <w:tcPr>
            <w:tcW w:w="240" w:type="dxa"/>
            <w:vAlign w:val="bottom"/>
          </w:tcPr>
          <w:p>
            <w:pPr>
              <w:spacing w:after="0"/>
              <w:rPr>
                <w:sz w:val="9"/>
                <w:szCs w:val="9"/>
                <w:color w:val="auto"/>
              </w:rPr>
            </w:pPr>
          </w:p>
        </w:tc>
        <w:tc>
          <w:tcPr>
            <w:tcW w:w="980" w:type="dxa"/>
            <w:vAlign w:val="bottom"/>
            <w:vMerge w:val="restart"/>
          </w:tcPr>
          <w:p>
            <w:pPr>
              <w:jc w:val="right"/>
              <w:ind w:right="163"/>
              <w:spacing w:after="0"/>
              <w:rPr>
                <w:sz w:val="20"/>
                <w:szCs w:val="20"/>
                <w:color w:val="auto"/>
              </w:rPr>
            </w:pPr>
            <w:r>
              <w:rPr>
                <w:rFonts w:ascii="Arial" w:cs="Arial" w:eastAsia="Arial" w:hAnsi="Arial"/>
                <w:sz w:val="10"/>
                <w:szCs w:val="10"/>
                <w:b w:val="1"/>
                <w:bCs w:val="1"/>
                <w:color w:val="auto"/>
              </w:rPr>
              <w:t>Expirations</w:t>
            </w:r>
          </w:p>
        </w:tc>
        <w:tc>
          <w:tcPr>
            <w:tcW w:w="24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Adjustments</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jc w:val="center"/>
              <w:ind w:right="221"/>
              <w:spacing w:after="0" w:line="108" w:lineRule="exact"/>
              <w:rPr>
                <w:sz w:val="20"/>
                <w:szCs w:val="20"/>
                <w:color w:val="auto"/>
              </w:rPr>
            </w:pPr>
            <w:r>
              <w:rPr>
                <w:rFonts w:ascii="Arial" w:cs="Arial" w:eastAsia="Arial" w:hAnsi="Arial"/>
                <w:sz w:val="10"/>
                <w:szCs w:val="10"/>
                <w:b w:val="1"/>
                <w:bCs w:val="1"/>
                <w:color w:val="auto"/>
                <w:w w:val="96"/>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rPr>
              <w:t>Year</w:t>
            </w: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201"/>
              <w:spacing w:after="0"/>
              <w:rPr>
                <w:sz w:val="20"/>
                <w:szCs w:val="20"/>
                <w:color w:val="auto"/>
              </w:rPr>
            </w:pPr>
            <w:r>
              <w:rPr>
                <w:rFonts w:ascii="Arial" w:cs="Arial" w:eastAsia="Arial" w:hAnsi="Arial"/>
                <w:sz w:val="10"/>
                <w:szCs w:val="10"/>
                <w:b w:val="1"/>
                <w:bCs w:val="1"/>
                <w:color w:val="auto"/>
                <w:w w:val="92"/>
              </w:rPr>
              <w:t>Year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 valuation allowance:</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Fiscal year ended March 31, 2011</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$187,358</w:t>
            </w:r>
          </w:p>
        </w:tc>
        <w:tc>
          <w:tcPr>
            <w:tcW w:w="1300" w:type="dxa"/>
            <w:vAlign w:val="bottom"/>
            <w:gridSpan w:val="3"/>
          </w:tcPr>
          <w:p>
            <w:pPr>
              <w:jc w:val="right"/>
              <w:ind w:right="208"/>
              <w:spacing w:after="0"/>
              <w:rPr>
                <w:sz w:val="20"/>
                <w:szCs w:val="20"/>
                <w:color w:val="auto"/>
              </w:rPr>
            </w:pPr>
            <w:r>
              <w:rPr>
                <w:rFonts w:ascii="Arial" w:cs="Arial" w:eastAsia="Arial" w:hAnsi="Arial"/>
                <w:sz w:val="13"/>
                <w:szCs w:val="13"/>
                <w:color w:val="auto"/>
              </w:rPr>
              <w:t>43,308</w:t>
            </w:r>
          </w:p>
        </w:tc>
        <w:tc>
          <w:tcPr>
            <w:tcW w:w="1220" w:type="dxa"/>
            <w:vAlign w:val="bottom"/>
            <w:gridSpan w:val="2"/>
          </w:tcPr>
          <w:p>
            <w:pPr>
              <w:jc w:val="right"/>
              <w:ind w:right="183"/>
              <w:spacing w:after="0"/>
              <w:rPr>
                <w:sz w:val="20"/>
                <w:szCs w:val="20"/>
                <w:color w:val="auto"/>
              </w:rPr>
            </w:pPr>
            <w:r>
              <w:rPr>
                <w:rFonts w:ascii="Arial" w:cs="Arial" w:eastAsia="Arial" w:hAnsi="Arial"/>
                <w:sz w:val="13"/>
                <w:szCs w:val="13"/>
                <w:color w:val="auto"/>
              </w:rPr>
              <w:t>(10,063)</w:t>
            </w:r>
          </w:p>
        </w:tc>
        <w:tc>
          <w:tcPr>
            <w:tcW w:w="1480" w:type="dxa"/>
            <w:vAlign w:val="bottom"/>
            <w:gridSpan w:val="2"/>
          </w:tcPr>
          <w:p>
            <w:pPr>
              <w:jc w:val="right"/>
              <w:ind w:right="348"/>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w w:val="85"/>
              </w:rPr>
              <w:t>220,596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March 31, 2010</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w w:val="85"/>
              </w:rPr>
              <w:t>174,695</w:t>
            </w:r>
          </w:p>
        </w:tc>
        <w:tc>
          <w:tcPr>
            <w:tcW w:w="130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16,189</w:t>
            </w:r>
          </w:p>
        </w:tc>
        <w:tc>
          <w:tcPr>
            <w:tcW w:w="1220" w:type="dxa"/>
            <w:vAlign w:val="bottom"/>
            <w:gridSpan w:val="2"/>
            <w:shd w:val="clear" w:color="auto" w:fill="CCEEFF"/>
          </w:tcPr>
          <w:p>
            <w:pPr>
              <w:jc w:val="right"/>
              <w:ind w:right="183"/>
              <w:spacing w:after="0"/>
              <w:rPr>
                <w:sz w:val="20"/>
                <w:szCs w:val="20"/>
                <w:color w:val="auto"/>
              </w:rPr>
            </w:pPr>
            <w:r>
              <w:rPr>
                <w:rFonts w:ascii="Arial" w:cs="Arial" w:eastAsia="Arial" w:hAnsi="Arial"/>
                <w:sz w:val="13"/>
                <w:szCs w:val="13"/>
                <w:color w:val="auto"/>
              </w:rPr>
              <w:t>(4,148)</w:t>
            </w:r>
          </w:p>
        </w:tc>
        <w:tc>
          <w:tcPr>
            <w:tcW w:w="14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622</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w w:val="85"/>
              </w:rPr>
              <w:t>187,358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Fiscal year ended March 31, 2009</w:t>
            </w:r>
          </w:p>
        </w:tc>
        <w:tc>
          <w:tcPr>
            <w:tcW w:w="36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3"/>
                <w:szCs w:val="13"/>
                <w:color w:val="auto"/>
                <w:w w:val="85"/>
              </w:rPr>
              <w:t>171,664</w:t>
            </w:r>
          </w:p>
        </w:tc>
        <w:tc>
          <w:tcPr>
            <w:tcW w:w="1300" w:type="dxa"/>
            <w:vAlign w:val="bottom"/>
            <w:gridSpan w:val="3"/>
          </w:tcPr>
          <w:p>
            <w:pPr>
              <w:jc w:val="right"/>
              <w:ind w:right="208"/>
              <w:spacing w:after="0"/>
              <w:rPr>
                <w:sz w:val="20"/>
                <w:szCs w:val="20"/>
                <w:color w:val="auto"/>
              </w:rPr>
            </w:pPr>
            <w:r>
              <w:rPr>
                <w:rFonts w:ascii="Arial" w:cs="Arial" w:eastAsia="Arial" w:hAnsi="Arial"/>
                <w:sz w:val="13"/>
                <w:szCs w:val="13"/>
                <w:color w:val="auto"/>
              </w:rPr>
              <w:t>7,055</w:t>
            </w:r>
          </w:p>
        </w:tc>
        <w:tc>
          <w:tcPr>
            <w:tcW w:w="240" w:type="dxa"/>
            <w:vAlign w:val="bottom"/>
          </w:tcPr>
          <w:p>
            <w:pPr>
              <w:spacing w:after="0"/>
              <w:rPr>
                <w:sz w:val="14"/>
                <w:szCs w:val="14"/>
                <w:color w:val="auto"/>
              </w:rPr>
            </w:pPr>
          </w:p>
        </w:tc>
        <w:tc>
          <w:tcPr>
            <w:tcW w:w="980" w:type="dxa"/>
            <w:vAlign w:val="bottom"/>
          </w:tcPr>
          <w:p>
            <w:pPr>
              <w:jc w:val="right"/>
              <w:ind w:right="223"/>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48"/>
              <w:spacing w:after="0"/>
              <w:rPr>
                <w:sz w:val="20"/>
                <w:szCs w:val="20"/>
                <w:color w:val="auto"/>
              </w:rPr>
            </w:pPr>
            <w:r>
              <w:rPr>
                <w:rFonts w:ascii="Arial" w:cs="Arial" w:eastAsia="Arial" w:hAnsi="Arial"/>
                <w:sz w:val="13"/>
                <w:szCs w:val="13"/>
                <w:color w:val="auto"/>
              </w:rPr>
              <w:t>(4,024)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w w:val="85"/>
              </w:rPr>
              <w:t>174,695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133</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AMERICAN SUPERCONDUCTOR CORPORATION</w:t>
      </w:r>
    </w:p>
    <w:p>
      <w:pPr>
        <w:spacing w:after="0" w:line="332" w:lineRule="exact"/>
        <w:rPr>
          <w:sz w:val="20"/>
          <w:szCs w:val="20"/>
          <w:color w:val="auto"/>
        </w:rPr>
      </w:pPr>
    </w:p>
    <w:p>
      <w:pPr>
        <w:ind w:left="5580"/>
        <w:spacing w:after="0"/>
        <w:tabs>
          <w:tab w:leader="none" w:pos="77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w:t>
      </w:r>
      <w:r>
        <w:rPr>
          <w:rFonts w:ascii="Arial" w:cs="Arial" w:eastAsia="Arial" w:hAnsi="Arial"/>
          <w:sz w:val="8"/>
          <w:szCs w:val="8"/>
          <w:color w:val="auto"/>
        </w:rPr>
        <w:t>ANIEL</w:t>
      </w:r>
      <w:r>
        <w:rPr>
          <w:rFonts w:ascii="Arial" w:cs="Arial" w:eastAsia="Arial" w:hAnsi="Arial"/>
          <w:sz w:val="13"/>
          <w:szCs w:val="13"/>
          <w:color w:val="auto"/>
        </w:rPr>
        <w:t xml:space="preserve"> P. M</w:t>
      </w:r>
      <w:r>
        <w:rPr>
          <w:rFonts w:ascii="Arial" w:cs="Arial" w:eastAsia="Arial" w:hAnsi="Arial"/>
          <w:sz w:val="8"/>
          <w:szCs w:val="8"/>
          <w:color w:val="auto"/>
        </w:rPr>
        <w:t>C</w:t>
      </w:r>
      <w:r>
        <w:rPr>
          <w:rFonts w:ascii="Arial" w:cs="Arial" w:eastAsia="Arial" w:hAnsi="Arial"/>
          <w:sz w:val="13"/>
          <w:szCs w:val="13"/>
          <w:color w:val="auto"/>
        </w:rPr>
        <w:t>G</w:t>
      </w:r>
      <w:r>
        <w:rPr>
          <w:rFonts w:ascii="Arial" w:cs="Arial" w:eastAsia="Arial" w:hAnsi="Arial"/>
          <w:sz w:val="8"/>
          <w:szCs w:val="8"/>
          <w:color w:val="auto"/>
        </w:rPr>
        <w:t>AHN</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-92710</wp:posOffset>
            </wp:positionV>
            <wp:extent cx="353377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b w:val="1"/>
          <w:bCs w:val="1"/>
          <w:color w:val="auto"/>
        </w:rPr>
        <w:t>President,</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Chief Executive Officer, and Director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Date: September 23, 2011</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ANIEL</w:t>
            </w:r>
            <w:r>
              <w:rPr>
                <w:rFonts w:ascii="Arial" w:cs="Arial" w:eastAsia="Arial" w:hAnsi="Arial"/>
                <w:sz w:val="13"/>
                <w:szCs w:val="13"/>
                <w:color w:val="auto"/>
              </w:rPr>
              <w:t xml:space="preserve"> P. M</w:t>
            </w:r>
            <w:r>
              <w:rPr>
                <w:rFonts w:ascii="Arial" w:cs="Arial" w:eastAsia="Arial" w:hAnsi="Arial"/>
                <w:sz w:val="8"/>
                <w:szCs w:val="8"/>
                <w:color w:val="auto"/>
              </w:rPr>
              <w:t>C</w:t>
            </w:r>
            <w:r>
              <w:rPr>
                <w:rFonts w:ascii="Arial" w:cs="Arial" w:eastAsia="Arial" w:hAnsi="Arial"/>
                <w:sz w:val="13"/>
                <w:szCs w:val="13"/>
                <w:color w:val="auto"/>
              </w:rPr>
              <w:t>G</w:t>
            </w:r>
            <w:r>
              <w:rPr>
                <w:rFonts w:ascii="Arial" w:cs="Arial" w:eastAsia="Arial" w:hAnsi="Arial"/>
                <w:sz w:val="8"/>
                <w:szCs w:val="8"/>
                <w:color w:val="auto"/>
              </w:rPr>
              <w:t>AHN</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2"/>
              </w:rPr>
              <w:t>Daniel P. McGahn</w:t>
            </w:r>
          </w:p>
        </w:tc>
        <w:tc>
          <w:tcPr>
            <w:tcW w:w="4080" w:type="dxa"/>
            <w:vAlign w:val="bottom"/>
          </w:tcPr>
          <w:p>
            <w:pPr>
              <w:jc w:val="center"/>
              <w:ind w:left="34"/>
              <w:spacing w:after="0" w:line="145" w:lineRule="exact"/>
              <w:rPr>
                <w:sz w:val="20"/>
                <w:szCs w:val="20"/>
                <w:color w:val="auto"/>
              </w:rPr>
            </w:pPr>
            <w:r>
              <w:rPr>
                <w:rFonts w:ascii="Arial" w:cs="Arial" w:eastAsia="Arial" w:hAnsi="Arial"/>
                <w:sz w:val="13"/>
                <w:szCs w:val="13"/>
                <w:color w:val="auto"/>
                <w:w w:val="95"/>
              </w:rPr>
              <w:t>Executive Officer)</w:t>
            </w: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3"/>
              </w:rPr>
              <w:t>Senior Vice President and Chief Financial Officer (Principal</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5"/>
              </w:rPr>
              <w:t>David A. Henry</w:t>
            </w:r>
          </w:p>
        </w:tc>
        <w:tc>
          <w:tcPr>
            <w:tcW w:w="4080" w:type="dxa"/>
            <w:vAlign w:val="bottom"/>
          </w:tcPr>
          <w:p>
            <w:pPr>
              <w:jc w:val="center"/>
              <w:ind w:left="14"/>
              <w:spacing w:after="0" w:line="145" w:lineRule="exact"/>
              <w:rPr>
                <w:sz w:val="20"/>
                <w:szCs w:val="20"/>
                <w:color w:val="auto"/>
              </w:rPr>
            </w:pPr>
            <w:r>
              <w:rPr>
                <w:rFonts w:ascii="Arial" w:cs="Arial" w:eastAsia="Arial" w:hAnsi="Arial"/>
                <w:sz w:val="13"/>
                <w:szCs w:val="13"/>
                <w:color w:val="auto"/>
                <w:w w:val="93"/>
              </w:rPr>
              <w:t>Financial and Accounting Officer)</w:t>
            </w: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w:t>
            </w:r>
            <w:r>
              <w:rPr>
                <w:rFonts w:ascii="Arial" w:cs="Arial" w:eastAsia="Arial" w:hAnsi="Arial"/>
                <w:sz w:val="8"/>
                <w:szCs w:val="8"/>
                <w:color w:val="auto"/>
                <w:w w:val="97"/>
              </w:rPr>
              <w:t>OHN</w:t>
            </w:r>
            <w:r>
              <w:rPr>
                <w:rFonts w:ascii="Arial" w:cs="Arial" w:eastAsia="Arial" w:hAnsi="Arial"/>
                <w:sz w:val="13"/>
                <w:szCs w:val="13"/>
                <w:color w:val="auto"/>
                <w:w w:val="97"/>
              </w:rPr>
              <w:t xml:space="preserve"> W. W</w:t>
            </w:r>
            <w:r>
              <w:rPr>
                <w:rFonts w:ascii="Arial" w:cs="Arial" w:eastAsia="Arial" w:hAnsi="Arial"/>
                <w:sz w:val="8"/>
                <w:szCs w:val="8"/>
                <w:color w:val="auto"/>
                <w:w w:val="97"/>
              </w:rPr>
              <w:t>OOD</w:t>
            </w:r>
            <w:r>
              <w:rPr>
                <w:rFonts w:ascii="Arial" w:cs="Arial" w:eastAsia="Arial" w:hAnsi="Arial"/>
                <w:sz w:val="13"/>
                <w:szCs w:val="13"/>
                <w:color w:val="auto"/>
                <w:w w:val="97"/>
              </w:rPr>
              <w:t>, J</w:t>
            </w:r>
            <w:r>
              <w:rPr>
                <w:rFonts w:ascii="Arial" w:cs="Arial" w:eastAsia="Arial" w:hAnsi="Arial"/>
                <w:sz w:val="8"/>
                <w:szCs w:val="8"/>
                <w:color w:val="auto"/>
                <w:w w:val="97"/>
              </w:rPr>
              <w:t>R</w:t>
            </w:r>
            <w:r>
              <w:rPr>
                <w:rFonts w:ascii="Arial" w:cs="Arial" w:eastAsia="Arial" w:hAnsi="Arial"/>
                <w:sz w:val="13"/>
                <w:szCs w:val="13"/>
                <w:color w:val="auto"/>
                <w:w w:val="97"/>
              </w:rPr>
              <w:t>.</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1"/>
              </w:rPr>
              <w:t>Chairman of the Board</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1"/>
              </w:rPr>
              <w:t>John W. Wood, Jr.</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S. B</w:t>
            </w:r>
            <w:r>
              <w:rPr>
                <w:rFonts w:ascii="Arial" w:cs="Arial" w:eastAsia="Arial" w:hAnsi="Arial"/>
                <w:sz w:val="8"/>
                <w:szCs w:val="8"/>
                <w:color w:val="auto"/>
              </w:rPr>
              <w:t>UDHRAJA</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5"/>
              </w:rPr>
              <w:t>Vikram S. Budhraja</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P</w:t>
            </w:r>
            <w:r>
              <w:rPr>
                <w:rFonts w:ascii="Arial" w:cs="Arial" w:eastAsia="Arial" w:hAnsi="Arial"/>
                <w:sz w:val="8"/>
                <w:szCs w:val="8"/>
                <w:color w:val="auto"/>
                <w:w w:val="99"/>
              </w:rPr>
              <w:t>ETER</w:t>
            </w:r>
            <w:r>
              <w:rPr>
                <w:rFonts w:ascii="Arial" w:cs="Arial" w:eastAsia="Arial" w:hAnsi="Arial"/>
                <w:sz w:val="13"/>
                <w:szCs w:val="13"/>
                <w:color w:val="auto"/>
                <w:w w:val="99"/>
              </w:rPr>
              <w:t xml:space="preserve"> O. C</w:t>
            </w:r>
            <w:r>
              <w:rPr>
                <w:rFonts w:ascii="Arial" w:cs="Arial" w:eastAsia="Arial" w:hAnsi="Arial"/>
                <w:sz w:val="8"/>
                <w:szCs w:val="8"/>
                <w:color w:val="auto"/>
                <w:w w:val="99"/>
              </w:rPr>
              <w:t>RISP</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2"/>
              </w:rPr>
              <w:t>Peter O. Crisp</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D</w:t>
            </w:r>
            <w:r>
              <w:rPr>
                <w:rFonts w:ascii="Arial" w:cs="Arial" w:eastAsia="Arial" w:hAnsi="Arial"/>
                <w:sz w:val="8"/>
                <w:szCs w:val="8"/>
                <w:color w:val="auto"/>
              </w:rPr>
              <w:t>ROUIN</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3"/>
              </w:rPr>
              <w:t>Richard Drouin</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AMELA</w:t>
            </w:r>
            <w:r>
              <w:rPr>
                <w:rFonts w:ascii="Arial" w:cs="Arial" w:eastAsia="Arial" w:hAnsi="Arial"/>
                <w:sz w:val="13"/>
                <w:szCs w:val="13"/>
                <w:color w:val="auto"/>
              </w:rPr>
              <w:t xml:space="preserve"> F. L</w:t>
            </w:r>
            <w:r>
              <w:rPr>
                <w:rFonts w:ascii="Arial" w:cs="Arial" w:eastAsia="Arial" w:hAnsi="Arial"/>
                <w:sz w:val="8"/>
                <w:szCs w:val="8"/>
                <w:color w:val="auto"/>
              </w:rPr>
              <w:t>ENEHAN</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1"/>
              </w:rPr>
              <w:t>Pamela F. Lenehan</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R. O</w:t>
            </w:r>
            <w:r>
              <w:rPr>
                <w:rFonts w:ascii="Arial" w:cs="Arial" w:eastAsia="Arial" w:hAnsi="Arial"/>
                <w:sz w:val="8"/>
                <w:szCs w:val="8"/>
                <w:color w:val="auto"/>
              </w:rPr>
              <w:t>LIVER</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93"/>
              </w:rPr>
              <w:t>David R. Oliver, Jr.</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B. V</w:t>
            </w:r>
            <w:r>
              <w:rPr>
                <w:rFonts w:ascii="Arial" w:cs="Arial" w:eastAsia="Arial" w:hAnsi="Arial"/>
                <w:sz w:val="8"/>
                <w:szCs w:val="8"/>
                <w:color w:val="auto"/>
              </w:rPr>
              <w:t>ANDER</w:t>
            </w:r>
            <w:r>
              <w:rPr>
                <w:rFonts w:ascii="Arial" w:cs="Arial" w:eastAsia="Arial" w:hAnsi="Arial"/>
                <w:sz w:val="13"/>
                <w:szCs w:val="13"/>
                <w:color w:val="auto"/>
              </w:rPr>
              <w:t xml:space="preserve"> S</w:t>
            </w:r>
            <w:r>
              <w:rPr>
                <w:rFonts w:ascii="Arial" w:cs="Arial" w:eastAsia="Arial" w:hAnsi="Arial"/>
                <w:sz w:val="8"/>
                <w:szCs w:val="8"/>
                <w:color w:val="auto"/>
              </w:rPr>
              <w:t>ANDE</w:t>
            </w:r>
          </w:p>
        </w:tc>
        <w:tc>
          <w:tcPr>
            <w:tcW w:w="408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580" w:type="dxa"/>
            <w:vAlign w:val="bottom"/>
          </w:tcPr>
          <w:p>
            <w:pPr>
              <w:ind w:left="420"/>
              <w:spacing w:after="0"/>
              <w:rPr>
                <w:sz w:val="20"/>
                <w:szCs w:val="20"/>
                <w:color w:val="auto"/>
              </w:rPr>
            </w:pPr>
            <w:r>
              <w:rPr>
                <w:rFonts w:ascii="Arial" w:cs="Arial" w:eastAsia="Arial" w:hAnsi="Arial"/>
                <w:sz w:val="13"/>
                <w:szCs w:val="13"/>
                <w:color w:val="auto"/>
              </w:rPr>
              <w:t>September 23, 2011</w:t>
            </w:r>
          </w:p>
        </w:tc>
      </w:tr>
      <w:tr>
        <w:trPr>
          <w:trHeight w:val="159"/>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b w:val="1"/>
                <w:bCs w:val="1"/>
                <w:color w:val="auto"/>
                <w:w w:val="89"/>
              </w:rPr>
              <w:t>John B. Vander Sande</w:t>
            </w:r>
          </w:p>
        </w:tc>
        <w:tc>
          <w:tcPr>
            <w:tcW w:w="40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151"/>
        </w:trPr>
        <w:tc>
          <w:tcPr>
            <w:tcW w:w="680" w:type="dxa"/>
            <w:vAlign w:val="bottom"/>
            <w:tcBorders>
              <w:bottom w:val="single" w:sz="8" w:color="808080"/>
            </w:tcBorders>
          </w:tcPr>
          <w:p>
            <w:pPr>
              <w:spacing w:after="0"/>
              <w:rPr>
                <w:sz w:val="13"/>
                <w:szCs w:val="13"/>
                <w:color w:val="auto"/>
              </w:rPr>
            </w:pPr>
          </w:p>
        </w:tc>
        <w:tc>
          <w:tcPr>
            <w:tcW w:w="4120" w:type="dxa"/>
            <w:vAlign w:val="bottom"/>
            <w:tcBorders>
              <w:bottom w:val="single" w:sz="8" w:color="808080"/>
            </w:tcBorders>
          </w:tcPr>
          <w:p>
            <w:pPr>
              <w:spacing w:after="0"/>
              <w:rPr>
                <w:sz w:val="13"/>
                <w:szCs w:val="13"/>
                <w:color w:val="auto"/>
              </w:rPr>
            </w:pPr>
          </w:p>
        </w:tc>
        <w:tc>
          <w:tcPr>
            <w:tcW w:w="4080" w:type="dxa"/>
            <w:vAlign w:val="bottom"/>
            <w:tcBorders>
              <w:bottom w:val="single" w:sz="8" w:color="808080"/>
            </w:tcBorders>
          </w:tcPr>
          <w:p>
            <w:pPr>
              <w:spacing w:after="0"/>
              <w:rPr>
                <w:sz w:val="13"/>
                <w:szCs w:val="13"/>
                <w:color w:val="auto"/>
              </w:rPr>
            </w:pPr>
          </w:p>
        </w:tc>
        <w:tc>
          <w:tcPr>
            <w:tcW w:w="25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60" w:type="dxa"/>
            <w:vAlign w:val="bottom"/>
          </w:tcPr>
          <w:p>
            <w:pPr>
              <w:spacing w:after="0"/>
              <w:rPr>
                <w:sz w:val="14"/>
                <w:szCs w:val="14"/>
                <w:color w:val="auto"/>
              </w:rPr>
            </w:pPr>
          </w:p>
        </w:tc>
        <w:tc>
          <w:tcPr>
            <w:tcW w:w="9700" w:type="dxa"/>
            <w:vAlign w:val="bottom"/>
            <w:gridSpan w:val="3"/>
          </w:tcPr>
          <w:p>
            <w:pPr>
              <w:ind w:left="340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760" w:type="dxa"/>
            <w:vAlign w:val="bottom"/>
          </w:tcPr>
          <w:p>
            <w:pPr>
              <w:ind w:left="1160"/>
              <w:spacing w:after="0"/>
              <w:rPr>
                <w:sz w:val="20"/>
                <w:szCs w:val="20"/>
                <w:color w:val="auto"/>
              </w:rPr>
            </w:pPr>
            <w:r>
              <w:rPr>
                <w:rFonts w:ascii="Arial" w:cs="Arial" w:eastAsia="Arial" w:hAnsi="Arial"/>
                <w:sz w:val="10"/>
                <w:szCs w:val="10"/>
                <w:b w:val="1"/>
                <w:bCs w:val="1"/>
                <w:color w:val="auto"/>
              </w:rPr>
              <w:t>Exhibit No.</w:t>
            </w:r>
          </w:p>
        </w:tc>
        <w:tc>
          <w:tcPr>
            <w:tcW w:w="9700" w:type="dxa"/>
            <w:vAlign w:val="bottom"/>
            <w:gridSpan w:val="3"/>
          </w:tcPr>
          <w:p>
            <w:pPr>
              <w:ind w:left="4460"/>
              <w:spacing w:after="0"/>
              <w:rPr>
                <w:sz w:val="20"/>
                <w:szCs w:val="20"/>
                <w:color w:val="auto"/>
              </w:rPr>
            </w:pPr>
            <w:r>
              <w:rPr>
                <w:rFonts w:ascii="Arial" w:cs="Arial" w:eastAsia="Arial" w:hAnsi="Arial"/>
                <w:sz w:val="10"/>
                <w:szCs w:val="10"/>
                <w:b w:val="1"/>
                <w:bCs w:val="1"/>
                <w:color w:val="auto"/>
              </w:rPr>
              <w:t>Description</w:t>
            </w:r>
          </w:p>
        </w:tc>
      </w:tr>
      <w:tr>
        <w:trPr>
          <w:trHeight w:val="178"/>
        </w:trPr>
        <w:tc>
          <w:tcPr>
            <w:tcW w:w="1760" w:type="dxa"/>
            <w:vAlign w:val="bottom"/>
          </w:tcPr>
          <w:p>
            <w:pPr>
              <w:jc w:val="center"/>
              <w:ind w:left="735"/>
              <w:spacing w:after="0"/>
              <w:rPr>
                <w:sz w:val="20"/>
                <w:szCs w:val="20"/>
                <w:color w:val="auto"/>
              </w:rPr>
            </w:pPr>
            <w:r>
              <w:rPr>
                <w:rFonts w:ascii="Arial" w:cs="Arial" w:eastAsia="Arial" w:hAnsi="Arial"/>
                <w:sz w:val="13"/>
                <w:szCs w:val="13"/>
                <w:color w:val="auto"/>
                <w:w w:val="88"/>
              </w:rPr>
              <w:t>3.1</w:t>
            </w:r>
          </w:p>
        </w:tc>
        <w:tc>
          <w:tcPr>
            <w:tcW w:w="4460" w:type="dxa"/>
            <w:vAlign w:val="bottom"/>
          </w:tcPr>
          <w:p>
            <w:pPr>
              <w:ind w:left="100"/>
              <w:spacing w:after="0"/>
              <w:rPr>
                <w:sz w:val="20"/>
                <w:szCs w:val="20"/>
                <w:color w:val="auto"/>
              </w:rPr>
            </w:pPr>
            <w:r>
              <w:rPr>
                <w:rFonts w:ascii="Arial" w:cs="Arial" w:eastAsia="Arial" w:hAnsi="Arial"/>
                <w:sz w:val="13"/>
                <w:szCs w:val="13"/>
                <w:color w:val="auto"/>
              </w:rPr>
              <w:t>Restated Certificate of Incorporation of the Registrant, as amended(1)</w:t>
            </w:r>
          </w:p>
        </w:tc>
        <w:tc>
          <w:tcPr>
            <w:tcW w:w="80" w:type="dxa"/>
            <w:vAlign w:val="bottom"/>
            <w:tcBorders>
              <w:top w:val="single" w:sz="8" w:color="auto"/>
            </w:tcBorders>
          </w:tcPr>
          <w:p>
            <w:pPr>
              <w:spacing w:after="0"/>
              <w:rPr>
                <w:sz w:val="15"/>
                <w:szCs w:val="15"/>
                <w:color w:val="auto"/>
              </w:rPr>
            </w:pPr>
          </w:p>
        </w:tc>
        <w:tc>
          <w:tcPr>
            <w:tcW w:w="5160" w:type="dxa"/>
            <w:vAlign w:val="bottom"/>
          </w:tcPr>
          <w:p>
            <w:pPr>
              <w:spacing w:after="0"/>
              <w:rPr>
                <w:sz w:val="15"/>
                <w:szCs w:val="15"/>
                <w:color w:val="auto"/>
              </w:rPr>
            </w:pPr>
          </w:p>
        </w:tc>
      </w:tr>
      <w:tr>
        <w:trPr>
          <w:trHeight w:val="157"/>
        </w:trPr>
        <w:tc>
          <w:tcPr>
            <w:tcW w:w="1760" w:type="dxa"/>
            <w:vAlign w:val="bottom"/>
          </w:tcPr>
          <w:p>
            <w:pPr>
              <w:jc w:val="center"/>
              <w:ind w:left="735"/>
              <w:spacing w:after="0"/>
              <w:rPr>
                <w:sz w:val="20"/>
                <w:szCs w:val="20"/>
                <w:color w:val="auto"/>
              </w:rPr>
            </w:pPr>
            <w:r>
              <w:rPr>
                <w:rFonts w:ascii="Arial" w:cs="Arial" w:eastAsia="Arial" w:hAnsi="Arial"/>
                <w:sz w:val="13"/>
                <w:szCs w:val="13"/>
                <w:color w:val="auto"/>
                <w:w w:val="88"/>
              </w:rPr>
              <w:t>3.2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By-laws, as amended, of the Registrant(2)</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1993 Stock Option Plan(3)</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1996 Stock Incentive Plan(4)</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*10.3</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incentive stock option agreement under Amended and Restated 1996 Stock Incentive Plan(5)</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*10.4</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non-statutory stock option agreement under Amended and Restated 1996 Stock Incentive Plan(5)</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*10.5</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Second Amended and Restated 1997 Director Stock Option Plan, as amended(6)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*10.6</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Stock Option Agreement under Second Amended and Restated 1997 Director Stock Option Plan, as amended(7)</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*10.7</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2004 Stock Incentive Plan, as amended(6)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*10.8</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incentive stock option agreement under 2004 Stock Incentive Plan, as amended(7)</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*10.9</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non-statutory stock option agreement under 2004 Stock Incentive Plan, as amended(7)</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*10.10</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under 2004 Stock Incentive Plan, as amended(7)</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2007 Stock Incentive Plan, as amended(8)</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Incentive Stock Option Agreement under 2007 Stock Incentive Plan, as amended(9)</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*10.13</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Nonstatutory Stock Option Agreement under 2007 Stock Option Plan, as amended(9)</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*10.14</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Regarding Awards to Executive Officers under 2007 Stock Option Plan, as amended(9)</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*10.15</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Regarding Awards to Employees, under 2007 Stock Option Plan, as amended(9)</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*10.16</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(regarding performance-based awards to executive officers and employees) under 2007 Stock Incentive Plan, as amended(10)</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*10.17</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2007 Director Stock Plan, as amended(11)</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*10.18</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Nonstatutory Stock Option Agreement Under 2007 Director Stock Plan, as amended(9)</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*10.19</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Executive Incentive Plan for the fiscal year ended March 31, 2011(6)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*10.20</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Employment Agreement dated as of December 4, 1991 between the Registrant and Gregory J. Yurek(12)</w:t>
            </w:r>
          </w:p>
        </w:tc>
      </w:tr>
      <w:tr>
        <w:trPr>
          <w:trHeight w:val="157"/>
        </w:trPr>
        <w:tc>
          <w:tcPr>
            <w:tcW w:w="1760" w:type="dxa"/>
            <w:vAlign w:val="bottom"/>
          </w:tcPr>
          <w:p>
            <w:pPr>
              <w:jc w:val="center"/>
              <w:ind w:left="755"/>
              <w:spacing w:after="0"/>
              <w:rPr>
                <w:sz w:val="20"/>
                <w:szCs w:val="20"/>
                <w:color w:val="auto"/>
              </w:rPr>
            </w:pPr>
            <w:r>
              <w:rPr>
                <w:rFonts w:ascii="Arial" w:cs="Arial" w:eastAsia="Arial" w:hAnsi="Arial"/>
                <w:sz w:val="13"/>
                <w:szCs w:val="13"/>
                <w:color w:val="auto"/>
                <w:w w:val="92"/>
              </w:rPr>
              <w:t>10.21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Form of Employee Nondisclosure and Developments Agreement(12)</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Noncompetition Agreement dated as of July 10, 1987 between the Registrant and John Vander Sande(12)</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*10.23</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Gregory J. Yurek(6)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*10.24</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David A. Henry(6)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*10.25</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Charles W. Stankiewicz(6)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*10.26</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Angelo R. Santamaria(6)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*10.27</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Daniel P. McGahn(6)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*10.28</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First Amendment to Amended and Restated Executive Severance Agreement, effective as of December 11, 2009, between the Registrant and Daniel P. McGahn(13)</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*10.29</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Amended and Restated Executive Severance Agreement dated as of December 23, 2008 between the Registrant and Timothy D. Poor(6)</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*10.30</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as of September 8, 2009 between the Registrant and Susan J. DiCecco(14)</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*10.31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as of May 18, 2010 between the Registrant and John R. Collett(15)</w:t>
            </w:r>
          </w:p>
        </w:tc>
      </w:tr>
      <w:tr>
        <w:trPr>
          <w:trHeight w:val="165"/>
        </w:trPr>
        <w:tc>
          <w:tcPr>
            <w:tcW w:w="1760" w:type="dxa"/>
            <w:vAlign w:val="bottom"/>
          </w:tcPr>
          <w:p>
            <w:pPr>
              <w:jc w:val="center"/>
              <w:ind w:left="755"/>
              <w:spacing w:after="0"/>
              <w:rPr>
                <w:sz w:val="20"/>
                <w:szCs w:val="20"/>
                <w:color w:val="auto"/>
              </w:rPr>
            </w:pPr>
            <w:r>
              <w:rPr>
                <w:rFonts w:ascii="Arial" w:cs="Arial" w:eastAsia="Arial" w:hAnsi="Arial"/>
                <w:sz w:val="13"/>
                <w:szCs w:val="13"/>
                <w:color w:val="auto"/>
                <w:w w:val="92"/>
              </w:rPr>
              <w:t>10.32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Stock Purchase Agreement, dated November 28, 2006, between the Registrant and Gerald Hehenberger Privatstiftung(16)</w:t>
            </w:r>
          </w:p>
        </w:tc>
      </w:tr>
      <w:tr>
        <w:trPr>
          <w:trHeight w:val="163"/>
        </w:trPr>
        <w:tc>
          <w:tcPr>
            <w:tcW w:w="176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-3541395</wp:posOffset>
            </wp:positionV>
            <wp:extent cx="63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60" w:type="dxa"/>
            <w:vAlign w:val="bottom"/>
          </w:tcPr>
          <w:p>
            <w:pPr>
              <w:ind w:left="116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52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78"/>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†10.33</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06.7IC014 for the Core Components of the Electrical Control System of FL 1500 Wind Turbine, dated as of December 15, 2006, between</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Sinovel Wind (Group) Co., Ltd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†10.34</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06.7IC015 for the Software of FL 1500 Wind Turbine, dated as of December 15, 2006, between Sinovel Wind (Group) Co., Ltd and Windtec</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†10.35</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Contract Amendment to the Purchase Contract No. 06.7IC014 for the Core Components of the Electrical Control System of FL 1500 Wind Turbine, dated as of</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March 6, 2007, between Sinovel Wind (Group) Co., Ltd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†10.36</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Contract Amendment to the Purchase Contract No. 06.7IC015 for the Software of FL 1500 Wind Turbine, dated as of March 6, 2007, between Sinovel Wind (Group)</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Co., Ltd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†10.37</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FDCG07060 for the Core Components of the Electrical Control System of SL 1500 Wind Turbine, dated as of December 24, 2007, between</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Sinovel Wind (Group) Co., Ltd, China National Machinery &amp; Equipment Import &amp; Export Corporation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†10.38</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FDCG07061 for the Software of SL 1500 Wind Turbine, dated as of December 24, 2007, between Sinovel Wind (Group) Co., Ltd, China</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National Machinery &amp; Equipment Import &amp; Export Corporation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†10.39</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FDCG08050 for the Electrical System of SL 3000 Wind Turbine, dated as of March 7, 2008, between Sinovel Wind (Group) Co., Ltd, China</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National Machinery &amp; Equipment Import &amp; Export Corporation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†10.40</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FDCG08051 for the Core Components of the Electrical Control System of SL 3000 Wind Turbine, dated as of March 7, 2008, between Sinovel</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Wind (Group) Co., Ltd, China National Machinery &amp; Equipment Import &amp; Export Corporation and Windtec Systemtechnik Handels GmbH(17)</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†10.41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w w:val="99"/>
              </w:rPr>
              <w:t>Purchase Contract No. FDCG08045-01 for the Core Components of the Electrical Control System and Software of SL 1500 Wind Turbine, effective as of June 5, 2008,</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between Sinovel Wind (Group) Co., Ltd and Suzhou AMSC Superconductor Co., Ltd.(18)</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†10.42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Amendment No. HB-FDCG08045-01-2, dated July 24, 2009, to Purchase Contract No. FDCG08045-01 for the Core Components of the Electrical Control System and</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Software of SL 1500 Wind Turbine, effective as of June 5, 2008, between Sinovel Wind (Group) Co., Ltd. and Suzhou AMSC Superconductor Co., Ltd.(19)</w:t>
            </w:r>
          </w:p>
        </w:tc>
      </w:tr>
      <w:tr>
        <w:trPr>
          <w:trHeight w:val="157"/>
        </w:trPr>
        <w:tc>
          <w:tcPr>
            <w:tcW w:w="1760" w:type="dxa"/>
            <w:vAlign w:val="bottom"/>
          </w:tcPr>
          <w:p>
            <w:pPr>
              <w:jc w:val="center"/>
              <w:ind w:left="695"/>
              <w:spacing w:after="0"/>
              <w:rPr>
                <w:sz w:val="20"/>
                <w:szCs w:val="20"/>
                <w:color w:val="auto"/>
              </w:rPr>
            </w:pPr>
            <w:r>
              <w:rPr>
                <w:rFonts w:ascii="Arial" w:cs="Arial" w:eastAsia="Arial" w:hAnsi="Arial"/>
                <w:sz w:val="13"/>
                <w:szCs w:val="13"/>
                <w:color w:val="auto"/>
                <w:w w:val="90"/>
              </w:rPr>
              <w:t>†10.43</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Purchase Contract No. HCG1.5MW-10016-01, effective as of May 12, 2010, between Sinovel Wind (Group) Group Co., Ltd. and Suzhou AMSC Superconductor Co.,</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Ltd.(20)</w:t>
            </w:r>
          </w:p>
        </w:tc>
      </w:tr>
      <w:tr>
        <w:trPr>
          <w:trHeight w:val="157"/>
        </w:trPr>
        <w:tc>
          <w:tcPr>
            <w:tcW w:w="1760" w:type="dxa"/>
            <w:vAlign w:val="bottom"/>
          </w:tcPr>
          <w:p>
            <w:pPr>
              <w:ind w:left="1140"/>
              <w:spacing w:after="0"/>
              <w:rPr>
                <w:sz w:val="20"/>
                <w:szCs w:val="20"/>
                <w:color w:val="auto"/>
              </w:rPr>
            </w:pPr>
            <w:r>
              <w:rPr>
                <w:rFonts w:ascii="Arial" w:cs="Arial" w:eastAsia="Arial" w:hAnsi="Arial"/>
                <w:sz w:val="13"/>
                <w:szCs w:val="13"/>
                <w:color w:val="auto"/>
              </w:rPr>
              <w:t>10.44</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Share Purchase Agreement, dated March 12, 2011, by and among the Company and the shareholders of The Switch Engineering Oy(21)</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21.1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Subsidiaries</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23.1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Consent of PricewaterhouseCoopers LLP</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31.1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Chief Executive Officer — Certification pursuant to Rule 13a-14(a) or Rule 15d-14(a) of the Securities Exchange Act of 1934, as adopted pursuant to Section 302 of</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the Sarbanes-Oxley Act of 2002</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31.2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Chief Financial Officer — Certification pursuant to Rule 13a-14(a) or Rule 15d-14(a) of the Securities Exchange Act of 1934, as adopted pursuant to Section 302 of</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the Sarbanes-Oxley Act of 2002</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32.1</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Chief Executive Officer — Certification pursuant to Rule 13a-14(b) or Rule 15d-14(b) of the Securities Exchange Act of 1934 and 18 U.S.C. Section 1350, as adopted</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pursuant to Section 906 of the Sarbanes-Oxley Act of 2002</w:t>
            </w:r>
          </w:p>
        </w:tc>
      </w:tr>
      <w:tr>
        <w:trPr>
          <w:trHeight w:val="157"/>
        </w:trPr>
        <w:tc>
          <w:tcPr>
            <w:tcW w:w="1760" w:type="dxa"/>
            <w:vAlign w:val="bottom"/>
          </w:tcPr>
          <w:p>
            <w:pPr>
              <w:jc w:val="center"/>
              <w:ind w:left="675"/>
              <w:spacing w:after="0"/>
              <w:rPr>
                <w:sz w:val="20"/>
                <w:szCs w:val="20"/>
                <w:color w:val="auto"/>
              </w:rPr>
            </w:pPr>
            <w:r>
              <w:rPr>
                <w:rFonts w:ascii="Arial" w:cs="Arial" w:eastAsia="Arial" w:hAnsi="Arial"/>
                <w:sz w:val="13"/>
                <w:szCs w:val="13"/>
                <w:color w:val="auto"/>
                <w:w w:val="86"/>
              </w:rPr>
              <w:t>32.2</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Chief Financial Officer — Certification pursuant to Rule 13a-14(b) or Rule 15d-14(b) of the Securities Exchange Act of 1934 and 18 U.S.C. Section 1350, as adopted</w:t>
            </w:r>
          </w:p>
        </w:tc>
      </w:tr>
      <w:tr>
        <w:trPr>
          <w:trHeight w:val="157"/>
        </w:trPr>
        <w:tc>
          <w:tcPr>
            <w:tcW w:w="1760" w:type="dxa"/>
            <w:vAlign w:val="bottom"/>
          </w:tcPr>
          <w:p>
            <w:pPr>
              <w:spacing w:after="0"/>
              <w:rPr>
                <w:sz w:val="13"/>
                <w:szCs w:val="13"/>
                <w:color w:val="auto"/>
              </w:rPr>
            </w:pP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pursuant to Section 906 of the Sarbanes-Oxley Act of 2002</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101.INS</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Instance Document.**</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101.SCH</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Taxonomy Extension Schema Document.**</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101.CAL</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Taxonomy Calculation Linkbase Document.**</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101.LAB</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Taxonomy Label Linkbase Document.**</w:t>
            </w:r>
          </w:p>
        </w:tc>
      </w:tr>
      <w:tr>
        <w:trPr>
          <w:trHeight w:val="157"/>
        </w:trPr>
        <w:tc>
          <w:tcPr>
            <w:tcW w:w="1760" w:type="dxa"/>
            <w:vAlign w:val="bottom"/>
          </w:tcPr>
          <w:p>
            <w:pPr>
              <w:ind w:left="1080"/>
              <w:spacing w:after="0"/>
              <w:rPr>
                <w:sz w:val="20"/>
                <w:szCs w:val="20"/>
                <w:color w:val="auto"/>
              </w:rPr>
            </w:pPr>
            <w:r>
              <w:rPr>
                <w:rFonts w:ascii="Arial" w:cs="Arial" w:eastAsia="Arial" w:hAnsi="Arial"/>
                <w:sz w:val="13"/>
                <w:szCs w:val="13"/>
                <w:color w:val="auto"/>
              </w:rPr>
              <w:t>101.PRE</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Taxonomy Presentation Linkbase Document.**</w:t>
            </w:r>
          </w:p>
        </w:tc>
      </w:tr>
      <w:tr>
        <w:trPr>
          <w:trHeight w:val="165"/>
        </w:trPr>
        <w:tc>
          <w:tcPr>
            <w:tcW w:w="1760" w:type="dxa"/>
            <w:vAlign w:val="bottom"/>
          </w:tcPr>
          <w:p>
            <w:pPr>
              <w:ind w:left="1080"/>
              <w:spacing w:after="0"/>
              <w:rPr>
                <w:sz w:val="20"/>
                <w:szCs w:val="20"/>
                <w:color w:val="auto"/>
              </w:rPr>
            </w:pPr>
            <w:r>
              <w:rPr>
                <w:rFonts w:ascii="Arial" w:cs="Arial" w:eastAsia="Arial" w:hAnsi="Arial"/>
                <w:sz w:val="13"/>
                <w:szCs w:val="13"/>
                <w:color w:val="auto"/>
              </w:rPr>
              <w:t>101.DEF</w:t>
            </w:r>
          </w:p>
        </w:tc>
        <w:tc>
          <w:tcPr>
            <w:tcW w:w="9700" w:type="dxa"/>
            <w:vAlign w:val="bottom"/>
            <w:gridSpan w:val="3"/>
          </w:tcPr>
          <w:p>
            <w:pPr>
              <w:ind w:left="100"/>
              <w:spacing w:after="0"/>
              <w:rPr>
                <w:sz w:val="20"/>
                <w:szCs w:val="20"/>
                <w:color w:val="auto"/>
              </w:rPr>
            </w:pPr>
            <w:r>
              <w:rPr>
                <w:rFonts w:ascii="Arial" w:cs="Arial" w:eastAsia="Arial" w:hAnsi="Arial"/>
                <w:sz w:val="13"/>
                <w:szCs w:val="13"/>
                <w:color w:val="auto"/>
              </w:rPr>
              <w:t>XBRL Taxonomy Definition Linkbase Document.**</w:t>
            </w:r>
          </w:p>
        </w:tc>
      </w:tr>
      <w:tr>
        <w:trPr>
          <w:trHeight w:val="163"/>
        </w:trPr>
        <w:tc>
          <w:tcPr>
            <w:tcW w:w="176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-4041140</wp:posOffset>
            </wp:positionV>
            <wp:extent cx="635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8-K filed with the Commission on November 8, 2010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3.1 to the Registrant’s Current Report on Form 8-K filed with the Commission on January 30, 2008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June 29, 1993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10.21 to the Registrant’s Annual Report on Form 10-K filed with the Commission on June 27, 2001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May 28, 2009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10-Q filed with the Commission on February 5, 2009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Quarterly Report on Form 10-Q filed with the Commission on November 9, 2004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May 27, 2010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8-K filed with the Commission on August 9, 2007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8-K filed with the Commission on May 20, 2008 (Commission File No. 000-19672).</w:t>
      </w:r>
    </w:p>
    <w:p>
      <w:pPr>
        <w:spacing w:after="0" w:line="58" w:lineRule="exact"/>
        <w:rPr>
          <w:rFonts w:ascii="Arial" w:cs="Arial" w:eastAsia="Arial" w:hAnsi="Arial"/>
          <w:sz w:val="12"/>
          <w:szCs w:val="12"/>
          <w:color w:val="auto"/>
        </w:rPr>
      </w:pPr>
    </w:p>
    <w:p>
      <w:pPr>
        <w:ind w:left="1080" w:hanging="302"/>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Quarterly Report on Form 10-Q filed with the Commission on August 6, 2009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Registration Statement on Form S-1, filed with the Commission on December 13, 1991 (File No. 333-43647).</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Quarterly Report on Form 10-Q filed with the Commission on February 3, 2010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Quarterly Report on Form 10-Q filed with the Commission on November 5, 2009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10.32 to the Registrant’s Annual Report on Form 10-K filed with the Commission on May 27, 2010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10.01 to the Registrant’s Current Report on Form 8-K filed with the Commission on November 29, 2006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May 29, 2008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 filed with the Commission on June 11, 2008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 filed with the Commission on July 30, 2009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8-K/A filed with the Commission on September 15, 2010 (Commission File No. 000-19672).</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2"/>
          <w:numId w:val="83"/>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 filed with the Commission on March 14, 2011 (Commission File No. 000-19672).</w:t>
      </w:r>
    </w:p>
    <w:p>
      <w:pPr>
        <w:spacing w:after="0" w:line="58" w:lineRule="exact"/>
        <w:rPr>
          <w:rFonts w:ascii="Arial" w:cs="Arial" w:eastAsia="Arial" w:hAnsi="Arial"/>
          <w:sz w:val="12"/>
          <w:szCs w:val="12"/>
          <w:color w:val="auto"/>
        </w:rPr>
      </w:pPr>
    </w:p>
    <w:p>
      <w:pPr>
        <w:ind w:left="1080" w:hanging="187"/>
        <w:spacing w:after="0"/>
        <w:tabs>
          <w:tab w:leader="none" w:pos="10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Confidential treatment previously requested and granted with respect to certain portions, which portions were omitted and filed separately with the Commission.</w:t>
      </w:r>
    </w:p>
    <w:p>
      <w:pPr>
        <w:spacing w:after="0" w:line="47" w:lineRule="exact"/>
        <w:rPr>
          <w:rFonts w:ascii="Arial" w:cs="Arial" w:eastAsia="Arial" w:hAnsi="Arial"/>
          <w:sz w:val="13"/>
          <w:szCs w:val="13"/>
          <w:color w:val="auto"/>
        </w:rPr>
      </w:pPr>
    </w:p>
    <w:p>
      <w:pPr>
        <w:ind w:left="1080" w:hanging="195"/>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Confidential treatment has been requested with respect to certain portions of this exhibit, which portions have been filed separately with the Commission.</w:t>
      </w:r>
    </w:p>
    <w:p>
      <w:pPr>
        <w:spacing w:after="0" w:line="47" w:lineRule="exact"/>
        <w:rPr>
          <w:sz w:val="20"/>
          <w:szCs w:val="20"/>
          <w:color w:val="auto"/>
        </w:rPr>
      </w:pPr>
    </w:p>
    <w:p>
      <w:pPr>
        <w:ind w:left="90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Management contract or compensatory plan or arrangement required to be filed as an Exhibit to this Form 10-K.</w:t>
      </w:r>
    </w:p>
    <w:p>
      <w:pPr>
        <w:sectPr>
          <w:pgSz w:w="11900" w:h="16838" w:orient="portrait"/>
          <w:cols w:equalWidth="0" w:num="1">
            <w:col w:w="10460"/>
          </w:cols>
          <w:pgMar w:left="220" w:top="343" w:right="1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21.1</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Subsidiaries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AMSC Australia Pty Ltd (*) — incorporated in Australia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AMSC India Private Limited (*) — incorporated in India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AMSC Windtec GmbH (*) — incorporated in Austria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AMSC Wisconsin Wind LLC (*) — formed in Delaware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AMSC United Kingdom Limited (*) — incorporated in the United Kingdom</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ASC Devens LLC (*) — formed in Delaware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ASC Securities Corp. (*) — incorporated in Massachusetts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NST Asset Holding Corporation (*) — incorporated in Delaware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Superconductivity, Inc. (*) — incorporated in Delaware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Suzhou AMSC Super Conductor Co., Ltd. (*) — incorporated in China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Europe LLC (*) — formed in Delaware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Europe GmbH (*) — established in Germany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Korea Co., Ltd. (*) — incorporated in South Korea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Canada Limited (*) — incorporated in Canada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Portugal Unipessoal LDA (*) — incorporated in Portugal</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Singapore PTE. Ltd. (*) — incorporated in Singapore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Europe C.V. (*) — incorporated in the Netherlands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American Superconductor Europe B.V. (wholly-owned subsidiary of American Superconductor Europe C.V. ) — incorporated in the Netherlands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Blade Dynamics Limited (UK) — incorporated in the United Kingdom. (own 25% minority interest)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Tres Amigas, LLC — formed in Delaware (own approximately 37%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1064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3" w:lineRule="exact"/>
        <w:rPr>
          <w:sz w:val="20"/>
          <w:szCs w:val="20"/>
          <w:color w:val="auto"/>
        </w:rPr>
      </w:pPr>
    </w:p>
    <w:p>
      <w:pPr>
        <w:ind w:left="461" w:hanging="461"/>
        <w:spacing w:after="0"/>
        <w:tabs>
          <w:tab w:leader="none" w:pos="461" w:val="left"/>
        </w:tabs>
        <w:numPr>
          <w:ilvl w:val="0"/>
          <w:numId w:val="84"/>
        </w:numPr>
        <w:rPr>
          <w:rFonts w:ascii="Arial" w:cs="Arial" w:eastAsia="Arial" w:hAnsi="Arial"/>
          <w:sz w:val="13"/>
          <w:szCs w:val="13"/>
          <w:color w:val="auto"/>
        </w:rPr>
      </w:pPr>
      <w:r>
        <w:rPr>
          <w:rFonts w:ascii="Arial" w:cs="Arial" w:eastAsia="Arial" w:hAnsi="Arial"/>
          <w:sz w:val="13"/>
          <w:szCs w:val="13"/>
          <w:color w:val="auto"/>
        </w:rPr>
        <w:t>Wholly owned subsidiary of American Superconductor Corporation</w:t>
      </w:r>
    </w:p>
    <w:p>
      <w:pPr>
        <w:sectPr>
          <w:pgSz w:w="11900" w:h="16838" w:orient="portrait"/>
          <w:cols w:equalWidth="0" w:num="1">
            <w:col w:w="11461"/>
          </w:cols>
          <w:pgMar w:left="219" w:top="127"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3"/>
          <w:szCs w:val="13"/>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(File Nos. 33-74418, 33-86108, 333-37163, 333-39653, 333-71539, 333-58016, 333-111477, 333-119125, 333-119126, 333-145685 and 333-170286) of American Superconductor Corporation of our report dated September 22, 2011 relating to the financial statements, financial statement schedule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2011</w:t>
      </w:r>
    </w:p>
    <w:p>
      <w:pPr>
        <w:sectPr>
          <w:pgSz w:w="11900" w:h="16838" w:orient="portrait"/>
          <w:cols w:equalWidth="0" w:num="1">
            <w:col w:w="11460"/>
          </w:cols>
          <w:pgMar w:left="220" w:top="127"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Daniel P. McGahn, certify that:</w:t>
      </w:r>
    </w:p>
    <w:p>
      <w:pPr>
        <w:spacing w:after="0" w:line="86" w:lineRule="exact"/>
        <w:rPr>
          <w:sz w:val="20"/>
          <w:szCs w:val="20"/>
          <w:color w:val="auto"/>
        </w:rPr>
      </w:pPr>
    </w:p>
    <w:p>
      <w:pPr>
        <w:ind w:left="680" w:hanging="455"/>
        <w:spacing w:after="0"/>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Superconductor Corporation;</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23, 2011</w:t>
      </w:r>
    </w:p>
    <w:p>
      <w:pPr>
        <w:spacing w:after="0" w:line="322" w:lineRule="exact"/>
        <w:rPr>
          <w:sz w:val="20"/>
          <w:szCs w:val="20"/>
          <w:color w:val="auto"/>
        </w:rPr>
      </w:pPr>
    </w:p>
    <w:p>
      <w:pPr>
        <w:ind w:left="704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ANIEL</w:t>
      </w:r>
      <w:r>
        <w:rPr>
          <w:rFonts w:ascii="Arial" w:cs="Arial" w:eastAsia="Arial" w:hAnsi="Arial"/>
          <w:sz w:val="13"/>
          <w:szCs w:val="13"/>
          <w:color w:val="auto"/>
        </w:rPr>
        <w:t xml:space="preserve"> P. McG</w:t>
      </w:r>
      <w:r>
        <w:rPr>
          <w:rFonts w:ascii="Arial" w:cs="Arial" w:eastAsia="Arial" w:hAnsi="Arial"/>
          <w:sz w:val="8"/>
          <w:szCs w:val="8"/>
          <w:color w:val="auto"/>
        </w:rPr>
        <w:t>AHN</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460"/>
          </w:cols>
          <w:pgMar w:left="220" w:top="127" w:right="2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A. Henry, certify that:</w:t>
      </w:r>
    </w:p>
    <w:p>
      <w:pPr>
        <w:spacing w:after="0" w:line="86" w:lineRule="exact"/>
        <w:rPr>
          <w:sz w:val="20"/>
          <w:szCs w:val="20"/>
          <w:color w:val="auto"/>
        </w:rPr>
      </w:pPr>
    </w:p>
    <w:p>
      <w:pPr>
        <w:ind w:left="680" w:hanging="455"/>
        <w:spacing w:after="0"/>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Superconductor Corporation;</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23, 2011</w:t>
      </w:r>
    </w:p>
    <w:p>
      <w:pPr>
        <w:spacing w:after="0" w:line="322" w:lineRule="exact"/>
        <w:rPr>
          <w:sz w:val="20"/>
          <w:szCs w:val="20"/>
          <w:color w:val="auto"/>
        </w:rPr>
      </w:pPr>
    </w:p>
    <w:p>
      <w:pPr>
        <w:ind w:left="710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p>
      <w:pPr>
        <w:spacing w:after="0" w:line="15" w:lineRule="exact"/>
        <w:rPr>
          <w:sz w:val="20"/>
          <w:szCs w:val="20"/>
          <w:color w:val="auto"/>
        </w:rPr>
      </w:pPr>
    </w:p>
    <w:p>
      <w:pPr>
        <w:jc w:val="center"/>
        <w:ind w:left="3760"/>
        <w:spacing w:after="0"/>
        <w:rPr>
          <w:sz w:val="20"/>
          <w:szCs w:val="20"/>
          <w:color w:val="auto"/>
        </w:rPr>
      </w:pPr>
      <w:r>
        <w:rPr>
          <w:rFonts w:ascii="Arial" w:cs="Arial" w:eastAsia="Arial" w:hAnsi="Arial"/>
          <w:sz w:val="13"/>
          <w:szCs w:val="13"/>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jc w:val="center"/>
        <w:ind w:left="376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460"/>
          </w:cols>
          <w:pgMar w:left="220" w:top="127"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auto"/>
        </w:rPr>
        <w:t>Exhibit 32.1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color w:val="auto"/>
        </w:rPr>
        <w:t>In connection with the Annual Report on Form 10-K of American Superconductor Corporation (the “Company”) for the year ended March 31, 2011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57" w:lineRule="exact"/>
        <w:rPr>
          <w:sz w:val="20"/>
          <w:szCs w:val="20"/>
          <w:color w:val="auto"/>
        </w:rPr>
      </w:pPr>
    </w:p>
    <w:p>
      <w:pPr>
        <w:ind w:left="680" w:hanging="455"/>
        <w:spacing w:after="0"/>
        <w:tabs>
          <w:tab w:leader="none" w:pos="6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ANIEL</w:t>
      </w:r>
      <w:r>
        <w:rPr>
          <w:rFonts w:ascii="Arial" w:cs="Arial" w:eastAsia="Arial" w:hAnsi="Arial"/>
          <w:sz w:val="13"/>
          <w:szCs w:val="13"/>
          <w:color w:val="auto"/>
        </w:rPr>
        <w:t xml:space="preserve"> P. McG</w:t>
      </w:r>
      <w:r>
        <w:rPr>
          <w:rFonts w:ascii="Arial" w:cs="Arial" w:eastAsia="Arial" w:hAnsi="Arial"/>
          <w:sz w:val="8"/>
          <w:szCs w:val="8"/>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05359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3590" cy="635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Daniel P. McGahn</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September 23, 2011</w:t>
      </w:r>
    </w:p>
    <w:p>
      <w:pPr>
        <w:sectPr>
          <w:pgSz w:w="11900" w:h="16838" w:orient="portrait"/>
          <w:cols w:equalWidth="0" w:num="1">
            <w:col w:w="11460"/>
          </w:cols>
          <w:pgMar w:left="220" w:top="127"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In connection with the Annual Report on Form 10-K of American Superconductor Corporation (the “Company”) for the year ended March 31, 2011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57" w:lineRule="exact"/>
        <w:rPr>
          <w:sz w:val="20"/>
          <w:szCs w:val="20"/>
          <w:color w:val="auto"/>
        </w:rPr>
      </w:pPr>
    </w:p>
    <w:p>
      <w:pPr>
        <w:ind w:left="680" w:hanging="455"/>
        <w:spacing w:after="0"/>
        <w:tabs>
          <w:tab w:leader="none" w:pos="6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jc w:val="center"/>
        <w:ind w:right="822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05359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3590" cy="6350"/>
                    </a:xfrm>
                    <a:prstGeom prst="rect">
                      <a:avLst/>
                    </a:prstGeom>
                    <a:noFill/>
                  </pic:spPr>
                </pic:pic>
              </a:graphicData>
            </a:graphic>
          </wp:anchor>
        </w:drawing>
      </w:r>
    </w:p>
    <w:p>
      <w:pPr>
        <w:spacing w:after="0" w:line="3"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David A. Henry</w:t>
      </w:r>
    </w:p>
    <w:p>
      <w:pPr>
        <w:spacing w:after="0" w:line="19"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September 23,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2"/>
    </w:lvl>
  </w:abstractNum>
  <w:abstractNum w:abstractNumId="27">
    <w:nsid w:val="235BA861"/>
    <w:multiLevelType w:val="hybridMultilevel"/>
    <w:lvl w:ilvl="0">
      <w:lvlJc w:val="left"/>
      <w:lvlText w:val="%1."/>
      <w:numFmt w:val="decimal"/>
      <w:start w:val="3"/>
    </w:lvl>
  </w:abstractNum>
  <w:abstractNum w:abstractNumId="28">
    <w:nsid w:val="47398C89"/>
    <w:multiLevelType w:val="hybridMultilevel"/>
    <w:lvl w:ilvl="0">
      <w:lvlJc w:val="left"/>
      <w:lvlText w:val="%1."/>
      <w:numFmt w:val="decimal"/>
      <w:start w:val="4"/>
    </w:lvl>
  </w:abstractNum>
  <w:abstractNum w:abstractNumId="29">
    <w:nsid w:val="354FE9F9"/>
    <w:multiLevelType w:val="hybridMultilevel"/>
    <w:lvl w:ilvl="0">
      <w:lvlJc w:val="left"/>
      <w:lvlText w:val="%1."/>
      <w:numFmt w:val="decimal"/>
      <w:start w:val="7"/>
    </w:lvl>
  </w:abstractNum>
  <w:abstractNum w:abstractNumId="30">
    <w:nsid w:val="15B5AF5C"/>
    <w:multiLevelType w:val="hybridMultilevel"/>
    <w:lvl w:ilvl="0">
      <w:lvlJc w:val="left"/>
      <w:lvlText w:val="%1."/>
      <w:numFmt w:val="decimal"/>
      <w:start w:val="8"/>
    </w:lvl>
  </w:abstractNum>
  <w:abstractNum w:abstractNumId="31">
    <w:nsid w:val="741226BB"/>
    <w:multiLevelType w:val="hybridMultilevel"/>
    <w:lvl w:ilvl="0">
      <w:lvlJc w:val="left"/>
      <w:lvlText w:val="%1."/>
      <w:numFmt w:val="decimal"/>
      <w:start w:val="10"/>
    </w:lvl>
  </w:abstractNum>
  <w:abstractNum w:abstractNumId="32">
    <w:nsid w:val="D34B6A8"/>
    <w:multiLevelType w:val="hybridMultilevel"/>
    <w:lvl w:ilvl="0">
      <w:lvlJc w:val="left"/>
      <w:lvlText w:val="%1."/>
      <w:numFmt w:val="decimal"/>
      <w:start w:val="11"/>
    </w:lvl>
  </w:abstractNum>
  <w:abstractNum w:abstractNumId="33">
    <w:nsid w:val="10233C99"/>
    <w:multiLevelType w:val="hybridMultilevel"/>
    <w:lvl w:ilvl="0">
      <w:lvlJc w:val="left"/>
      <w:lvlText w:val="%1."/>
      <w:numFmt w:val="decimal"/>
      <w:start w:val="12"/>
    </w:lvl>
  </w:abstractNum>
  <w:abstractNum w:abstractNumId="34">
    <w:nsid w:val="3F6AB60F"/>
    <w:multiLevelType w:val="hybridMultilevel"/>
    <w:lvl w:ilvl="0">
      <w:lvlJc w:val="left"/>
      <w:lvlText w:val="%1."/>
      <w:numFmt w:val="decimal"/>
      <w:start w:val="13"/>
    </w:lvl>
  </w:abstractNum>
  <w:abstractNum w:abstractNumId="35">
    <w:nsid w:val="61574095"/>
    <w:multiLevelType w:val="hybridMultilevel"/>
    <w:lvl w:ilvl="0">
      <w:lvlJc w:val="left"/>
      <w:lvlText w:val="%1."/>
      <w:numFmt w:val="decimal"/>
      <w:start w:val="14"/>
    </w:lvl>
  </w:abstractNum>
  <w:abstractNum w:abstractNumId="36">
    <w:nsid w:val="7E0C57B1"/>
    <w:multiLevelType w:val="hybridMultilevel"/>
    <w:lvl w:ilvl="0">
      <w:lvlJc w:val="left"/>
      <w:lvlText w:val="%1."/>
      <w:numFmt w:val="decimal"/>
      <w:start w:val="15"/>
    </w:lvl>
  </w:abstractNum>
  <w:abstractNum w:abstractNumId="37">
    <w:nsid w:val="77AE35EB"/>
    <w:multiLevelType w:val="hybridMultilevel"/>
    <w:lvl w:ilvl="0">
      <w:lvlJc w:val="left"/>
      <w:lvlText w:val="%1."/>
      <w:numFmt w:val="decimal"/>
      <w:start w:val="16"/>
    </w:lvl>
  </w:abstractNum>
  <w:abstractNum w:abstractNumId="38">
    <w:nsid w:val="579BE4F1"/>
    <w:multiLevelType w:val="hybridMultilevel"/>
    <w:lvl w:ilvl="0">
      <w:lvlJc w:val="left"/>
      <w:lvlText w:val="%1."/>
      <w:numFmt w:val="decimal"/>
      <w:start w:val="17"/>
    </w:lvl>
  </w:abstractNum>
  <w:abstractNum w:abstractNumId="39">
    <w:nsid w:val="310C50B3"/>
    <w:multiLevelType w:val="hybridMultilevel"/>
    <w:lvl w:ilvl="0">
      <w:lvlJc w:val="left"/>
      <w:lvlText w:val="%1."/>
      <w:numFmt w:val="decimal"/>
      <w:start w:val="19"/>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2"/>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lvl w:ilvl="1">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5"/>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lowerRoman"/>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6"/>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decimal"/>
      <w:start w:val="3"/>
    </w:lvl>
  </w:abstractNum>
  <w:abstractNum w:abstractNumId="82">
    <w:nsid w:val="6F6DD9A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2019-12-10T10:43:25Z</dcterms:created>
  <dcterms:modified xsi:type="dcterms:W3CDTF">2019-12-10T10:43:25Z</dcterms:modified>
</cp:coreProperties>
</file>