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50930_10q.htm"/>
      <w:bookmarkStart w:id="1" w:name="ksamsc202509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Shares outstanding of the Registrant’s common stock:</w:t>
      </w:r>
    </w:p>
    <w:p>
      <w:pPr>
        <w:pStyle w:val="TextBody"/>
        <w:bidi w:val="0"/>
        <w:spacing w:before="0" w:after="0"/>
        <w:ind w:left="0" w:right="0" w:hanging="0"/>
        <w:jc w:val="center"/>
        <w:rPr/>
      </w:pPr>
      <w:r>
        <w:rPr/>
        <w:t> </w:t>
      </w:r>
    </w:p>
    <w:tbl>
      <w:tblPr>
        <w:tblW w:w="6640" w:type="dxa"/>
        <w:jc w:val="left"/>
        <w:tblInd w:w="0" w:type="dxa"/>
        <w:tblLayout w:type="fixed"/>
        <w:tblCellMar>
          <w:top w:w="0" w:type="dxa"/>
          <w:left w:w="0" w:type="dxa"/>
          <w:bottom w:w="28" w:type="dxa"/>
          <w:right w:w="0" w:type="dxa"/>
        </w:tblCellMar>
      </w:tblPr>
      <w:tblGrid>
        <w:gridCol w:w="3575"/>
        <w:gridCol w:w="60"/>
        <w:gridCol w:w="300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45,186,789</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as of October 31, 2025</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7715"/>
        <w:gridCol w:w="60"/>
        <w:gridCol w:w="139"/>
        <w:gridCol w:w="1014"/>
        <w:gridCol w:w="80"/>
        <w:gridCol w:w="60"/>
        <w:gridCol w:w="125"/>
        <w:gridCol w:w="915"/>
        <w:gridCol w:w="97"/>
      </w:tblGrid>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March 31, 2025</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18"/>
              </w:rPr>
            </w:pPr>
            <w:r>
              <w:rPr>
                <w:sz w:val="18"/>
              </w:rPr>
              <w:t>$</w:t>
            </w:r>
          </w:p>
        </w:tc>
        <w:tc>
          <w:tcPr>
            <w:tcW w:w="1014" w:type="dxa"/>
            <w:tcBorders/>
            <w:shd w:fill="CCEEFF" w:val="clear"/>
            <w:vAlign w:val="center"/>
          </w:tcPr>
          <w:p>
            <w:pPr>
              <w:pStyle w:val="TableContents"/>
              <w:bidi w:val="0"/>
              <w:spacing w:before="0" w:after="283"/>
              <w:jc w:val="right"/>
              <w:rPr>
                <w:sz w:val="18"/>
              </w:rPr>
            </w:pPr>
            <w:r>
              <w:rPr>
                <w:sz w:val="18"/>
              </w:rPr>
              <w:t>212,891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915" w:type="dxa"/>
            <w:tcBorders/>
            <w:shd w:fill="CCEEFF" w:val="clear"/>
            <w:vAlign w:val="center"/>
          </w:tcPr>
          <w:p>
            <w:pPr>
              <w:pStyle w:val="TableContents"/>
              <w:bidi w:val="0"/>
              <w:spacing w:before="0" w:after="283"/>
              <w:jc w:val="right"/>
              <w:rPr>
                <w:sz w:val="18"/>
              </w:rPr>
            </w:pPr>
            <w:r>
              <w:rPr>
                <w:sz w:val="18"/>
              </w:rPr>
              <w:t>79,494</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39,870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46,186</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Inventory, net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75,457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71,169</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11,775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8,055</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2,867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1,613</w:t>
            </w:r>
          </w:p>
        </w:tc>
        <w:tc>
          <w:tcPr>
            <w:tcW w:w="97"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sz w:val="18"/>
              </w:rPr>
            </w:pPr>
            <w:r>
              <w:rPr>
                <w:sz w:val="18"/>
              </w:rPr>
              <w:t>342,860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sz w:val="18"/>
              </w:rPr>
            </w:pPr>
            <w:r>
              <w:rPr>
                <w:sz w:val="18"/>
              </w:rPr>
              <w:t>206,517</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38,956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38,572</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Intangibles, net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5,242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5,916</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3,789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3,829</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Goodwill</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48,164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48,164</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2,998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4,274</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1,250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1,178</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1,113</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833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958</w:t>
            </w:r>
          </w:p>
        </w:tc>
        <w:tc>
          <w:tcPr>
            <w:tcW w:w="97"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445,603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18"/>
              </w:rPr>
            </w:pPr>
            <w:r>
              <w:rPr>
                <w:sz w:val="18"/>
              </w:rPr>
              <w:t>$</w:t>
            </w:r>
          </w:p>
        </w:tc>
        <w:tc>
          <w:tcPr>
            <w:tcW w:w="1014" w:type="dxa"/>
            <w:tcBorders/>
            <w:shd w:fill="CCEEFF" w:val="clear"/>
            <w:vAlign w:val="center"/>
          </w:tcPr>
          <w:p>
            <w:pPr>
              <w:pStyle w:val="TableContents"/>
              <w:bidi w:val="0"/>
              <w:spacing w:before="0" w:after="283"/>
              <w:jc w:val="right"/>
              <w:rPr>
                <w:sz w:val="18"/>
              </w:rPr>
            </w:pPr>
            <w:r>
              <w:rPr>
                <w:sz w:val="18"/>
              </w:rPr>
              <w:t>34,679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915" w:type="dxa"/>
            <w:tcBorders/>
            <w:shd w:fill="CCEEFF" w:val="clear"/>
            <w:vAlign w:val="center"/>
          </w:tcPr>
          <w:p>
            <w:pPr>
              <w:pStyle w:val="TableContents"/>
              <w:bidi w:val="0"/>
              <w:spacing w:before="0" w:after="283"/>
              <w:jc w:val="right"/>
              <w:rPr>
                <w:sz w:val="18"/>
              </w:rPr>
            </w:pPr>
            <w:r>
              <w:rPr>
                <w:sz w:val="18"/>
              </w:rPr>
              <w:t>32,282</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685</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52,157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66,797</w:t>
            </w:r>
          </w:p>
        </w:tc>
        <w:tc>
          <w:tcPr>
            <w:tcW w:w="97"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sz w:val="18"/>
              </w:rPr>
            </w:pPr>
            <w:r>
              <w:rPr>
                <w:sz w:val="18"/>
              </w:rPr>
              <w:t>87,804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sz w:val="18"/>
              </w:rPr>
            </w:pPr>
            <w:r>
              <w:rPr>
                <w:sz w:val="18"/>
              </w:rPr>
              <w:t>99,764</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revenue, long-term portion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11,233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9,336</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long-term portion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2,684</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liabilities, long-term portion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1,595</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28</w:t>
            </w:r>
          </w:p>
        </w:tc>
        <w:tc>
          <w:tcPr>
            <w:tcW w:w="97" w:type="dxa"/>
            <w:tcBorders/>
            <w:shd w:fill="CCEEFF" w:val="clear"/>
            <w:vAlign w:val="center"/>
          </w:tcPr>
          <w:p>
            <w:pPr>
              <w:pStyle w:val="TableContents"/>
              <w:bidi w:val="0"/>
              <w:spacing w:before="0" w:after="0"/>
              <w:jc w:val="left"/>
              <w:rPr/>
            </w:pPr>
            <w:r>
              <w:rPr/>
              <w:t> </w:t>
            </w:r>
          </w:p>
        </w:tc>
      </w:tr>
      <w:tr>
        <w:trPr/>
        <w:tc>
          <w:tcPr>
            <w:tcW w:w="771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103,421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113,407</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Common stock, $0.01 par value, 75,000,000 shares authorized; 45,590,140 and 39,887,536 shares issued and 45,186,789 and 39,484,185 shares outstanding at September 30, 2025 and March 31, 2025, respectively</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399</w:t>
            </w:r>
          </w:p>
        </w:tc>
        <w:tc>
          <w:tcPr>
            <w:tcW w:w="97"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1,393,266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1,259,540</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Treasury stock, at cost, 403,351 at September 30, 2025 and March 31, 2025</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sz w:val="18"/>
              </w:rPr>
            </w:pPr>
            <w:r>
              <w:rPr>
                <w:sz w:val="18"/>
              </w:rPr>
              <w:t>(3,765</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sz w:val="18"/>
              </w:rPr>
            </w:pPr>
            <w:r>
              <w:rPr>
                <w:sz w:val="18"/>
              </w:rPr>
              <w:t>(3,765</w:t>
            </w:r>
          </w:p>
        </w:tc>
        <w:tc>
          <w:tcPr>
            <w:tcW w:w="97" w:type="dxa"/>
            <w:tcBorders/>
            <w:shd w:fill="CCEEFF" w:val="clear"/>
            <w:vAlign w:val="center"/>
          </w:tcPr>
          <w:p>
            <w:pPr>
              <w:pStyle w:val="TableContents"/>
              <w:bidi w:val="0"/>
              <w:spacing w:before="0" w:after="283"/>
              <w:jc w:val="left"/>
              <w:rPr>
                <w:sz w:val="18"/>
              </w:rPr>
            </w:pPr>
            <w:r>
              <w:rPr>
                <w:sz w:val="18"/>
              </w:rPr>
              <w:t>)</w:t>
            </w:r>
          </w:p>
        </w:tc>
      </w:tr>
      <w:tr>
        <w:trPr/>
        <w:tc>
          <w:tcPr>
            <w:tcW w:w="7715"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sz w:val="18"/>
              </w:rPr>
            </w:pPr>
            <w:r>
              <w:rPr>
                <w:sz w:val="18"/>
              </w:rPr>
              <w:t>1,376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sz w:val="18"/>
              </w:rPr>
            </w:pPr>
            <w:r>
              <w:rPr>
                <w:sz w:val="18"/>
              </w:rPr>
              <w:t>1,565</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(1,049,151</w:t>
            </w:r>
          </w:p>
        </w:tc>
        <w:tc>
          <w:tcPr>
            <w:tcW w:w="80" w:type="dxa"/>
            <w:tcBorders/>
            <w:shd w:fill="CCEEFF" w:val="clear"/>
            <w:vAlign w:val="center"/>
          </w:tcPr>
          <w:p>
            <w:pPr>
              <w:pStyle w:val="TableContents"/>
              <w:bidi w:val="0"/>
              <w:spacing w:before="0" w:after="0"/>
              <w:ind w:left="0" w:right="0" w:hanging="0"/>
              <w:jc w:val="left"/>
              <w:rPr>
                <w:sz w:val="18"/>
              </w:rPr>
            </w:pPr>
            <w:r>
              <w:rPr>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(1,060,625</w:t>
            </w:r>
          </w:p>
        </w:tc>
        <w:tc>
          <w:tcPr>
            <w:tcW w:w="97" w:type="dxa"/>
            <w:tcBorders/>
            <w:shd w:fill="CCEEFF" w:val="clear"/>
            <w:vAlign w:val="center"/>
          </w:tcPr>
          <w:p>
            <w:pPr>
              <w:pStyle w:val="TableContents"/>
              <w:bidi w:val="0"/>
              <w:spacing w:before="0" w:after="0"/>
              <w:jc w:val="left"/>
              <w:rPr>
                <w:sz w:val="18"/>
              </w:rPr>
            </w:pPr>
            <w:r>
              <w:rPr>
                <w:sz w:val="18"/>
              </w:rPr>
              <w:t>)</w:t>
            </w:r>
          </w:p>
        </w:tc>
      </w:tr>
      <w:tr>
        <w:trPr/>
        <w:tc>
          <w:tcPr>
            <w:tcW w:w="771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342,182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197,114</w:t>
            </w:r>
          </w:p>
        </w:tc>
        <w:tc>
          <w:tcPr>
            <w:tcW w:w="97"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8"/>
              </w:rPr>
            </w:pPr>
            <w:r>
              <w:rPr>
                <w:sz w:val="18"/>
              </w:rPr>
              <w:t>$</w:t>
            </w:r>
          </w:p>
        </w:tc>
        <w:tc>
          <w:tcPr>
            <w:tcW w:w="10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445,603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8"/>
              </w:rPr>
            </w:pPr>
            <w:r>
              <w:rPr>
                <w:sz w:val="18"/>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9073" w:type="dxa"/>
        <w:jc w:val="left"/>
        <w:tblInd w:w="0" w:type="dxa"/>
        <w:tblLayout w:type="fixed"/>
        <w:tblCellMar>
          <w:top w:w="0" w:type="dxa"/>
          <w:left w:w="0" w:type="dxa"/>
          <w:bottom w:w="0" w:type="dxa"/>
          <w:right w:w="0" w:type="dxa"/>
        </w:tblCellMar>
      </w:tblPr>
      <w:tblGrid>
        <w:gridCol w:w="5360"/>
        <w:gridCol w:w="60"/>
        <w:gridCol w:w="140"/>
        <w:gridCol w:w="661"/>
        <w:gridCol w:w="89"/>
        <w:gridCol w:w="67"/>
        <w:gridCol w:w="140"/>
        <w:gridCol w:w="661"/>
        <w:gridCol w:w="80"/>
        <w:gridCol w:w="60"/>
        <w:gridCol w:w="125"/>
        <w:gridCol w:w="695"/>
        <w:gridCol w:w="80"/>
        <w:gridCol w:w="60"/>
        <w:gridCol w:w="125"/>
        <w:gridCol w:w="590"/>
        <w:gridCol w:w="80"/>
      </w:tblGrid>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65,862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94,761</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45,423</w:t>
            </w:r>
          </w:p>
        </w:tc>
        <w:tc>
          <w:tcPr>
            <w:tcW w:w="89" w:type="dxa"/>
            <w:tcBorders/>
            <w:shd w:fill="CCEEFF" w:val="cle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66,923</w:t>
            </w:r>
          </w:p>
        </w:tc>
        <w:tc>
          <w:tcPr>
            <w:tcW w:w="80" w:type="dxa"/>
            <w:tcBorders/>
            <w:shd w:fill="CCEEFF" w:val="clear"/>
            <w:vAlign w:val="center"/>
          </w:tcPr>
          <w:p>
            <w:pPr>
              <w:pStyle w:val="TableContents"/>
              <w:bidi w:val="0"/>
              <w:spacing w:before="0" w:after="0"/>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27,838</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13,408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19,423</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89" w:type="dxa"/>
            <w:tcBorders/>
            <w:shd w:fill="FFFFFF" w:val="cle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89" w:type="dxa"/>
            <w:tcBorders/>
            <w:shd w:fill="CCEEFF" w:val="cle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89" w:type="dxa"/>
            <w:tcBorders/>
            <w:shd w:fill="FFFFFF" w:val="cle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0"/>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36,317</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6956" w:type="dxa"/>
        <w:jc w:val="left"/>
        <w:tblInd w:w="0" w:type="dxa"/>
        <w:tblLayout w:type="fixed"/>
        <w:tblCellMar>
          <w:top w:w="0" w:type="dxa"/>
          <w:left w:w="0" w:type="dxa"/>
          <w:bottom w:w="0" w:type="dxa"/>
          <w:right w:w="0" w:type="dxa"/>
        </w:tblCellMar>
      </w:tblPr>
      <w:tblGrid>
        <w:gridCol w:w="3410"/>
        <w:gridCol w:w="60"/>
        <w:gridCol w:w="164"/>
        <w:gridCol w:w="637"/>
        <w:gridCol w:w="78"/>
        <w:gridCol w:w="78"/>
        <w:gridCol w:w="164"/>
        <w:gridCol w:w="637"/>
        <w:gridCol w:w="60"/>
        <w:gridCol w:w="60"/>
        <w:gridCol w:w="134"/>
        <w:gridCol w:w="632"/>
        <w:gridCol w:w="64"/>
        <w:gridCol w:w="64"/>
        <w:gridCol w:w="134"/>
        <w:gridCol w:w="520"/>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78"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net of tax</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and Six Months Ended September 30, 2025 AND 2024</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2043"/>
        <w:gridCol w:w="60"/>
        <w:gridCol w:w="76"/>
        <w:gridCol w:w="766"/>
        <w:gridCol w:w="60"/>
        <w:gridCol w:w="60"/>
        <w:gridCol w:w="157"/>
        <w:gridCol w:w="426"/>
        <w:gridCol w:w="60"/>
        <w:gridCol w:w="60"/>
        <w:gridCol w:w="133"/>
        <w:gridCol w:w="904"/>
        <w:gridCol w:w="80"/>
        <w:gridCol w:w="60"/>
        <w:gridCol w:w="158"/>
        <w:gridCol w:w="698"/>
        <w:gridCol w:w="80"/>
        <w:gridCol w:w="60"/>
        <w:gridCol w:w="335"/>
        <w:gridCol w:w="1043"/>
        <w:gridCol w:w="80"/>
        <w:gridCol w:w="60"/>
        <w:gridCol w:w="149"/>
        <w:gridCol w:w="1086"/>
        <w:gridCol w:w="80"/>
        <w:gridCol w:w="60"/>
        <w:gridCol w:w="194"/>
        <w:gridCol w:w="1086"/>
        <w:gridCol w:w="91"/>
      </w:tblGrid>
      <w:tr>
        <w:trPr/>
        <w:tc>
          <w:tcPr>
            <w:tcW w:w="2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(1,060,625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197,114</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equity offering, net of offering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124,577</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333,116</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3,766</w:t>
            </w:r>
          </w:p>
        </w:tc>
        <w:tc>
          <w:tcPr>
            <w:tcW w:w="91" w:type="dxa"/>
            <w:tcBorders/>
            <w:shd w:fill="FFFFFF" w:val="cle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for 401(k) match</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310</w:t>
            </w:r>
          </w:p>
        </w:tc>
        <w:tc>
          <w:tcPr>
            <w:tcW w:w="91" w:type="dxa"/>
            <w:tcBorders/>
            <w:shd w:fill="CCEEFF" w:val="clear"/>
            <w:vAlign w:val="center"/>
          </w:tcPr>
          <w:p>
            <w:pPr>
              <w:pStyle w:val="TableContents"/>
              <w:bidi w:val="0"/>
              <w:spacing w:before="0" w:after="283"/>
              <w:jc w:val="left"/>
              <w:rPr/>
            </w:pPr>
            <w:r>
              <w:rPr/>
              <w:t> </w:t>
            </w:r>
          </w:p>
        </w:tc>
      </w:tr>
      <w:tr>
        <w:trPr/>
        <w:tc>
          <w:tcPr>
            <w:tcW w:w="204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4,750</w:t>
            </w:r>
          </w:p>
        </w:tc>
        <w:tc>
          <w:tcPr>
            <w:tcW w:w="91" w:type="dxa"/>
            <w:tcBorders/>
            <w:shd w:fill="CCEEFF" w:val="clear"/>
            <w:vAlign w:val="center"/>
          </w:tcPr>
          <w:p>
            <w:pPr>
              <w:pStyle w:val="TableContents"/>
              <w:bidi w:val="0"/>
              <w:spacing w:before="0" w:after="0"/>
              <w:ind w:left="0" w:right="0" w:hanging="0"/>
              <w:jc w:val="left"/>
              <w:rPr/>
            </w:pPr>
            <w:r>
              <w:rPr/>
              <w:t> </w:t>
            </w:r>
          </w:p>
        </w:tc>
      </w:tr>
      <w:tr>
        <w:trPr/>
        <w:tc>
          <w:tcPr>
            <w:tcW w:w="20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September 30, 2025</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45,590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1,393,266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(1,049,151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342,182</w:t>
            </w:r>
          </w:p>
        </w:tc>
        <w:tc>
          <w:tcPr>
            <w:tcW w:w="91"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1"/>
        <w:gridCol w:w="60"/>
        <w:gridCol w:w="74"/>
        <w:gridCol w:w="745"/>
        <w:gridCol w:w="60"/>
        <w:gridCol w:w="60"/>
        <w:gridCol w:w="155"/>
        <w:gridCol w:w="419"/>
        <w:gridCol w:w="60"/>
        <w:gridCol w:w="60"/>
        <w:gridCol w:w="132"/>
        <w:gridCol w:w="896"/>
        <w:gridCol w:w="80"/>
        <w:gridCol w:w="60"/>
        <w:gridCol w:w="156"/>
        <w:gridCol w:w="687"/>
        <w:gridCol w:w="80"/>
        <w:gridCol w:w="60"/>
        <w:gridCol w:w="362"/>
        <w:gridCol w:w="1140"/>
        <w:gridCol w:w="80"/>
        <w:gridCol w:w="60"/>
        <w:gridCol w:w="147"/>
        <w:gridCol w:w="1071"/>
        <w:gridCol w:w="80"/>
        <w:gridCol w:w="60"/>
        <w:gridCol w:w="191"/>
        <w:gridCol w:w="1072"/>
        <w:gridCol w:w="87"/>
      </w:tblGrid>
      <w:tr>
        <w:trPr/>
        <w:tc>
          <w:tcPr>
            <w:tcW w:w="20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144,571</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1072" w:type="dxa"/>
            <w:tcBorders/>
            <w:shd w:fill="FFFFFF" w:val="clear"/>
            <w:vAlign w:val="center"/>
          </w:tcPr>
          <w:p>
            <w:pPr>
              <w:pStyle w:val="TableContents"/>
              <w:bidi w:val="0"/>
              <w:spacing w:before="0" w:after="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143,344</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Megatran acquisition, net of offering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31,202</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to settle contingent consideration</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6,504</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60" w:type="dxa"/>
            <w:tcBorders/>
            <w:shd w:fill="CCEEFF" w:val="clear"/>
            <w:vAlign w:val="center"/>
          </w:tcPr>
          <w:p>
            <w:pPr>
              <w:pStyle w:val="TableContents"/>
              <w:bidi w:val="0"/>
              <w:spacing w:before="0" w:after="0"/>
              <w:ind w:left="0" w:right="0" w:hanging="0"/>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(1,064,295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187,015</w:t>
            </w:r>
          </w:p>
        </w:tc>
        <w:tc>
          <w:tcPr>
            <w:tcW w:w="87" w:type="dxa"/>
            <w:tcBorders/>
            <w:shd w:fill="CCEEFF" w:val="clear"/>
            <w:vAlign w:val="center"/>
          </w:tcPr>
          <w:p>
            <w:pPr>
              <w:pStyle w:val="TableContents"/>
              <w:bidi w:val="0"/>
              <w:spacing w:before="0" w:after="0"/>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9087" w:type="dxa"/>
        <w:jc w:val="left"/>
        <w:tblInd w:w="0" w:type="dxa"/>
        <w:tblLayout w:type="fixed"/>
        <w:tblCellMar>
          <w:top w:w="0" w:type="dxa"/>
          <w:left w:w="0" w:type="dxa"/>
          <w:bottom w:w="0" w:type="dxa"/>
          <w:right w:w="0" w:type="dxa"/>
        </w:tblCellMar>
      </w:tblPr>
      <w:tblGrid>
        <w:gridCol w:w="6185"/>
        <w:gridCol w:w="60"/>
        <w:gridCol w:w="199"/>
        <w:gridCol w:w="1107"/>
        <w:gridCol w:w="127"/>
        <w:gridCol w:w="95"/>
        <w:gridCol w:w="199"/>
        <w:gridCol w:w="1035"/>
        <w:gridCol w:w="80"/>
      </w:tblGrid>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2,395</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2,072</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Earnings from equity method investments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6,682</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6,305</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2,538</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(5,982</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(3,503</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(13,275</w:t>
            </w:r>
          </w:p>
        </w:tc>
        <w:tc>
          <w:tcPr>
            <w:tcW w:w="12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18,182</w:t>
            </w:r>
          </w:p>
        </w:tc>
        <w:tc>
          <w:tcPr>
            <w:tcW w:w="80" w:type="dxa"/>
            <w:tcBorders/>
            <w:shd w:fill="FFFFFF" w:val="clear"/>
            <w:vAlign w:val="center"/>
          </w:tcPr>
          <w:p>
            <w:pPr>
              <w:pStyle w:val="TableContents"/>
              <w:bidi w:val="0"/>
              <w:spacing w:before="0" w:after="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16,121</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to settle Megatran contingent consideration liability</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for Megatran Acquisition, net of cash acquired</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(29,577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27"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Repayment of debt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Employee taxes paid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ESPP</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public equity offering, net of offering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124,577</w:t>
            </w:r>
          </w:p>
        </w:tc>
        <w:tc>
          <w:tcPr>
            <w:tcW w:w="127"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124,819</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27"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0"/>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85,381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92,280</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218,756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in connection with the purchase of Megatran</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31,350</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to settle contingent consideration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7"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6,504</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obligations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to settle 401k match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All significant intercompany accounts and transactions are eliminated in consolidation. Investments in entities in which we do </w:t>
      </w:r>
      <w:r>
        <w:rPr>
          <w:rStyle w:val="Emphasis"/>
          <w:rFonts w:ascii="Times New Roman;Times;serif" w:hAnsi="Times New Roman;Times;serif"/>
          <w:sz w:val="20"/>
        </w:rPr>
        <w:t>not</w:t>
      </w:r>
      <w:r>
        <w:rPr>
          <w:rFonts w:ascii="Times New Roman;Times;serif" w:hAnsi="Times New Roman;Times;serif"/>
          <w:sz w:val="20"/>
        </w:rPr>
        <w:t xml:space="preserve">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September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xml:space="preserve">, and the financial position at </w:t>
      </w:r>
      <w:r>
        <w:rPr>
          <w:rStyle w:val="Emphasis"/>
          <w:rFonts w:ascii="Times New Roman;Times;serif" w:hAnsi="Times New Roman;Times;serif"/>
          <w:sz w:val="20"/>
        </w:rPr>
        <w:t>September 30, 2025</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filed with the SEC on </w:t>
      </w:r>
      <w:r>
        <w:rPr>
          <w:rStyle w:val="Emphasis"/>
          <w:rFonts w:ascii="Times New Roman;Times;serif" w:hAnsi="Times New Roman;Times;serif"/>
          <w:sz w:val="20"/>
        </w:rPr>
        <w:t>May 21,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of NWL</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August 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capital stock of Megatran Industries, Inc. ("Megatran") (the "NWL Acquisition"). Megatran's wholly-owned subsidiary, NWL, Inc. (together with Megatran, "NWL"), is a U.S.-based global provider of engineered power conversion solutions for demanding industrial and military applications.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NWL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w:t>
      </w:r>
      <w:r>
        <w:rPr>
          <w:rFonts w:ascii="Times New Roman;Times;serif" w:hAnsi="Times New Roman;Times;serif"/>
          <w:i/>
          <w:sz w:val="20"/>
        </w:rPr>
        <w:t>Business Combinations</w:t>
      </w:r>
      <w:r>
        <w:rPr>
          <w:rFonts w:ascii="Times New Roman;Times;serif" w:hAnsi="Times New Roman;Times;serif"/>
          <w:sz w:val="20"/>
        </w:rPr>
        <w:t>. The Company allocated the purchase price to the assets acquired and liabilities assumed at their estimated fair values as of the Acquisition Date. The excess of the purchase price paid by the Company over the estimated fair value of net assets acquired has been recorded as goodwill.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$61.4 million includes the fair value of shares of the Company’s common stock issued at closing, and cash paid, as follows (in millions):</w:t>
      </w:r>
    </w:p>
    <w:p>
      <w:pPr>
        <w:pStyle w:val="TextBody"/>
        <w:bidi w:val="0"/>
        <w:spacing w:before="0" w:after="0"/>
        <w:ind w:left="0" w:right="0" w:firstLine="720"/>
        <w:jc w:val="both"/>
        <w:rPr/>
      </w:pPr>
      <w:r>
        <w:rPr/>
        <w:t> </w:t>
      </w:r>
    </w:p>
    <w:tbl>
      <w:tblPr>
        <w:tblW w:w="6160" w:type="dxa"/>
        <w:jc w:val="left"/>
        <w:tblInd w:w="0" w:type="dxa"/>
        <w:tblLayout w:type="fixed"/>
        <w:tblCellMar>
          <w:top w:w="0" w:type="dxa"/>
          <w:left w:w="0" w:type="dxa"/>
          <w:bottom w:w="0" w:type="dxa"/>
          <w:right w:w="0" w:type="dxa"/>
        </w:tblCellMar>
      </w:tblPr>
      <w:tblGrid>
        <w:gridCol w:w="5600"/>
        <w:gridCol w:w="560"/>
      </w:tblGrid>
      <w:tr>
        <w:trPr/>
        <w:tc>
          <w:tcPr>
            <w:tcW w:w="5600" w:type="dxa"/>
            <w:tcBorders/>
            <w:shd w:fill="CCEEFF" w:val="clear"/>
            <w:vAlign w:val="center"/>
          </w:tcPr>
          <w:p>
            <w:pPr>
              <w:pStyle w:val="TableContents"/>
              <w:bidi w:val="0"/>
              <w:spacing w:before="0" w:after="283"/>
              <w:jc w:val="left"/>
              <w:rPr/>
            </w:pPr>
            <w:r>
              <w:rPr/>
              <w:t>Cash payments</w:t>
            </w:r>
          </w:p>
        </w:tc>
        <w:tc>
          <w:tcPr>
            <w:tcW w:w="560" w:type="dxa"/>
            <w:tcBorders/>
            <w:shd w:fill="CCEEFF" w:val="clear"/>
            <w:vAlign w:val="center"/>
          </w:tcPr>
          <w:p>
            <w:pPr>
              <w:pStyle w:val="TableContents"/>
              <w:bidi w:val="0"/>
              <w:spacing w:before="0" w:after="283"/>
              <w:jc w:val="left"/>
              <w:rPr/>
            </w:pPr>
            <w:r>
              <w:rPr/>
              <w:t>$30.0</w:t>
            </w:r>
          </w:p>
        </w:tc>
      </w:tr>
      <w:tr>
        <w:trPr/>
        <w:tc>
          <w:tcPr>
            <w:tcW w:w="5600" w:type="dxa"/>
            <w:tcBorders/>
            <w:shd w:fill="FFFFFF" w:val="clear"/>
            <w:vAlign w:val="center"/>
          </w:tcPr>
          <w:p>
            <w:pPr>
              <w:pStyle w:val="TableContents"/>
              <w:bidi w:val="0"/>
              <w:spacing w:before="0" w:after="283"/>
              <w:jc w:val="left"/>
              <w:rPr/>
            </w:pPr>
            <w:r>
              <w:rPr/>
              <w:t>Issuance of 1,297,600 shares of Company’s common stock</w:t>
            </w:r>
          </w:p>
        </w:tc>
        <w:tc>
          <w:tcPr>
            <w:tcW w:w="560" w:type="dxa"/>
            <w:tcBorders/>
            <w:shd w:fill="FFFFFF" w:val="clear"/>
            <w:vAlign w:val="center"/>
          </w:tcPr>
          <w:p>
            <w:pPr>
              <w:pStyle w:val="TableContents"/>
              <w:bidi w:val="0"/>
              <w:spacing w:before="0" w:after="283"/>
              <w:jc w:val="left"/>
              <w:rPr/>
            </w:pPr>
            <w:r>
              <w:rPr/>
              <w:t>$31.4</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At the Acquisition Date, in addition to the $30.0 million cash, the Company valued the Company’s common stock, using $24.16 per share, which was the closing price on the day prior to the day that the Company completed the NWL Acquisition. Acquisition costs of $1.1 million were included in selling, general and administrative ("SG&amp;A") for the fiscal year ended </w:t>
      </w:r>
      <w:r>
        <w:rPr>
          <w:rStyle w:val="Emphasis"/>
          <w:rFonts w:ascii="Times New Roman;Times;serif" w:hAnsi="Times New Roman;Times;serif"/>
          <w:sz w:val="20"/>
        </w:rPr>
        <w:t xml:space="preserve"> March 31,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NWL Acquisition as of the Acquisition Date and reflective of measurement period adjustments (in millions):</w:t>
      </w:r>
    </w:p>
    <w:p>
      <w:pPr>
        <w:pStyle w:val="TextBody"/>
        <w:bidi w:val="0"/>
        <w:spacing w:before="0" w:after="0"/>
        <w:ind w:left="0" w:right="0" w:firstLine="720"/>
        <w:jc w:val="both"/>
        <w:rPr/>
      </w:pPr>
      <w:r>
        <w:rPr/>
        <w:t> </w:t>
      </w:r>
    </w:p>
    <w:tbl>
      <w:tblPr>
        <w:tblW w:w="3995" w:type="dxa"/>
        <w:jc w:val="left"/>
        <w:tblInd w:w="0" w:type="dxa"/>
        <w:tblLayout w:type="fixed"/>
        <w:tblCellMar>
          <w:top w:w="0" w:type="dxa"/>
          <w:left w:w="0" w:type="dxa"/>
          <w:bottom w:w="0" w:type="dxa"/>
          <w:right w:w="0" w:type="dxa"/>
        </w:tblCellMar>
      </w:tblPr>
      <w:tblGrid>
        <w:gridCol w:w="3350"/>
        <w:gridCol w:w="60"/>
        <w:gridCol w:w="125"/>
        <w:gridCol w:w="380"/>
        <w:gridCol w:w="80"/>
      </w:tblGrid>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$16.1 million. The gross amount due is $16.9 million, of which $0.8 million is expected to be uncollectible.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$0.7 million for the fiscal year ended </w:t>
      </w:r>
      <w:r>
        <w:rPr>
          <w:rStyle w:val="Emphasis"/>
          <w:rFonts w:ascii="Times New Roman;Times;serif" w:hAnsi="Times New Roman;Times;serif"/>
          <w:sz w:val="20"/>
        </w:rPr>
        <w:t xml:space="preserve"> March 31, 2025 </w:t>
      </w:r>
      <w:r>
        <w:rPr>
          <w:rFonts w:ascii="Times New Roman;Times;serif" w:hAnsi="Times New Roman;Times;serif"/>
          <w:sz w:val="20"/>
        </w:rPr>
        <w:t>as the inventory was sold.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$0.7 million was evaluated using the multi period excess earnings method under the income approach. The contracts with customers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an eight-month period with the expense being allocated to cost of revenues.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Customer relationships of $1.3 million relates to customers currently under contract and was determined based on a multi period excess earnings method under the income approach. The method of amortization being utilized is straight line over 10 years, as the results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different from the economic consumption method, with the expense being allocated to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value associated with the acquired workforce and expected synergies related to the business combination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companies. Goodwill resulting from the NWL Acquisition was assigned to the Company’s Grid business segment. Goodwill recognized in the NWL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presented as if the NWL Acquisition had occurred on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2465"/>
        <w:gridCol w:w="60"/>
        <w:gridCol w:w="599"/>
        <w:gridCol w:w="2840"/>
        <w:gridCol w:w="60"/>
        <w:gridCol w:w="60"/>
        <w:gridCol w:w="489"/>
        <w:gridCol w:w="2740"/>
        <w:gridCol w:w="80"/>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2024</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118,032</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2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27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37,189</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FFFFFF" w:val="cle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and NWL with appropriate adjustments that give effect to acquisition related costs, income taxes, intangible amortization resulting from the NWL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NWL Acquisition and related transactions had been completed at the beginning of the applicable periods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NWL contrib</w:t>
      </w:r>
      <w:r>
        <w:rPr>
          <w:rFonts w:ascii="Times New Roman" w:hAnsi="Times New Roman"/>
          <w:caps w:val="false"/>
          <w:smallCaps w:val="false"/>
          <w:sz w:val="20"/>
          <w:shd w:fill="FFFFFF" w:val="clear"/>
        </w:rPr>
        <w:t>uted $</w:t>
      </w:r>
      <w:r>
        <w:rPr>
          <w:rFonts w:ascii="Times New Roman" w:hAnsi="Times New Roman"/>
          <w:caps w:val="false"/>
          <w:smallCaps w:val="false"/>
          <w:sz w:val="20"/>
        </w:rPr>
        <w:t>16.4</w:t>
      </w:r>
      <w:r>
        <w:rPr>
          <w:rFonts w:ascii="Times New Roman" w:hAnsi="Times New Roman"/>
          <w:caps w:val="false"/>
          <w:smallCaps w:val="false"/>
          <w:sz w:val="20"/>
          <w:shd w:fill="FFFFFF" w:val="clear"/>
        </w:rPr>
        <w:t xml:space="preserve"> million of revenue and $</w:t>
      </w:r>
      <w:r>
        <w:rPr>
          <w:rFonts w:ascii="Times New Roman" w:hAnsi="Times New Roman"/>
          <w:caps w:val="false"/>
          <w:smallCaps w:val="false"/>
          <w:sz w:val="20"/>
        </w:rPr>
        <w:t>2.0</w:t>
      </w:r>
      <w:r>
        <w:rPr>
          <w:rFonts w:ascii="Times New Roman" w:hAnsi="Times New Roman"/>
          <w:caps w:val="false"/>
          <w:smallCaps w:val="false"/>
          <w:sz w:val="20"/>
          <w:shd w:fill="FFFFFF" w:val="clear"/>
        </w:rPr>
        <w:t xml:space="preserve">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NWL contributed $</w:t>
      </w:r>
      <w:r>
        <w:rPr>
          <w:rFonts w:ascii="Times New Roman" w:hAnsi="Times New Roman"/>
          <w:caps w:val="false"/>
          <w:smallCaps w:val="false"/>
          <w:sz w:val="20"/>
        </w:rPr>
        <w:t>34.1</w:t>
      </w:r>
      <w:r>
        <w:rPr>
          <w:rFonts w:ascii="Times New Roman" w:hAnsi="Times New Roman"/>
          <w:caps w:val="false"/>
          <w:smallCaps w:val="false"/>
          <w:sz w:val="20"/>
          <w:shd w:fill="FFFFFF" w:val="clear"/>
        </w:rPr>
        <w:t xml:space="preserve"> million of revenue and $</w:t>
      </w:r>
      <w:r>
        <w:rPr>
          <w:rFonts w:ascii="Times New Roman" w:hAnsi="Times New Roman"/>
          <w:caps w:val="false"/>
          <w:smallCaps w:val="false"/>
          <w:sz w:val="20"/>
        </w:rPr>
        <w:t>4.5</w:t>
      </w:r>
      <w:r>
        <w:rPr>
          <w:rFonts w:ascii="Times New Roman" w:hAnsi="Times New Roman"/>
          <w:caps w:val="false"/>
          <w:smallCaps w:val="false"/>
          <w:sz w:val="20"/>
          <w:shd w:fill="FFFFFF" w:val="clear"/>
        </w:rPr>
        <w:t xml:space="preserve"> million in n</w:t>
      </w:r>
      <w:r>
        <w:rPr>
          <w:rFonts w:ascii="Times New Roman" w:hAnsi="Times New Roman"/>
          <w:caps w:val="false"/>
          <w:smallCaps w:val="false"/>
          <w:sz w:val="20"/>
        </w:rPr>
        <w:t xml:space="preserve">et income for the Company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Amortization expense of less than $0.1 million and $0.1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respectively, as a result of the acquired intangible assets from the NWL Acquisition.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both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90% of revenue was recognized at the point in time when control transferred to the customer, with the remainder being recognized over time.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90% and 89%, respectively, of revenue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Infrequently, the Company receives requests from customers to hold product being purchased from us for a valid business purpose. The Company recognizes revenues for such arrangements provided the transaction meets, at a minimum, the following criteria: the reason for the bill-and-hold arrangement must be substantive; the product must be identified separately as belonging to the customer; the product currently must be ready for physical transfer to the customer; the entity cannot have the ability to use the product or to direct it to another customer. Revenue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included $7.9 million from such held transactions. There were no such transactions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10030" w:type="dxa"/>
        <w:jc w:val="left"/>
        <w:tblInd w:w="0" w:type="dxa"/>
        <w:tblLayout w:type="fixed"/>
        <w:tblCellMar>
          <w:top w:w="0" w:type="dxa"/>
          <w:left w:w="0" w:type="dxa"/>
          <w:bottom w:w="0" w:type="dxa"/>
          <w:right w:w="0" w:type="dxa"/>
        </w:tblCellMar>
      </w:tblPr>
      <w:tblGrid>
        <w:gridCol w:w="3125"/>
        <w:gridCol w:w="60"/>
        <w:gridCol w:w="277"/>
        <w:gridCol w:w="1309"/>
        <w:gridCol w:w="133"/>
        <w:gridCol w:w="133"/>
        <w:gridCol w:w="277"/>
        <w:gridCol w:w="1309"/>
        <w:gridCol w:w="60"/>
        <w:gridCol w:w="60"/>
        <w:gridCol w:w="243"/>
        <w:gridCol w:w="1356"/>
        <w:gridCol w:w="117"/>
        <w:gridCol w:w="117"/>
        <w:gridCol w:w="243"/>
        <w:gridCol w:w="1151"/>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49,951</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105,574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23,103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w:t>
            </w:r>
          </w:p>
        </w:tc>
        <w:tc>
          <w:tcPr>
            <w:tcW w:w="117"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47,400</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85,421</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4,026</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22,329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6,679</w:t>
            </w:r>
          </w:p>
        </w:tc>
        <w:tc>
          <w:tcPr>
            <w:tcW w:w="117"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029" w:type="dxa"/>
        <w:jc w:val="left"/>
        <w:tblInd w:w="0" w:type="dxa"/>
        <w:tblLayout w:type="fixed"/>
        <w:tblCellMar>
          <w:top w:w="0" w:type="dxa"/>
          <w:left w:w="0" w:type="dxa"/>
          <w:bottom w:w="0" w:type="dxa"/>
          <w:right w:w="0" w:type="dxa"/>
        </w:tblCellMar>
      </w:tblPr>
      <w:tblGrid>
        <w:gridCol w:w="3125"/>
        <w:gridCol w:w="60"/>
        <w:gridCol w:w="297"/>
        <w:gridCol w:w="1404"/>
        <w:gridCol w:w="142"/>
        <w:gridCol w:w="142"/>
        <w:gridCol w:w="297"/>
        <w:gridCol w:w="1154"/>
        <w:gridCol w:w="60"/>
        <w:gridCol w:w="60"/>
        <w:gridCol w:w="260"/>
        <w:gridCol w:w="1229"/>
        <w:gridCol w:w="125"/>
        <w:gridCol w:w="125"/>
        <w:gridCol w:w="260"/>
        <w:gridCol w:w="1229"/>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4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43,747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74,452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w:t>
            </w:r>
          </w:p>
        </w:tc>
        <w:tc>
          <w:tcPr>
            <w:tcW w:w="1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43,479</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73,957</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w:t>
            </w:r>
          </w:p>
        </w:tc>
        <w:tc>
          <w:tcPr>
            <w:tcW w:w="1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83"/>
        <w:gridCol w:w="60"/>
        <w:gridCol w:w="290"/>
        <w:gridCol w:w="1521"/>
        <w:gridCol w:w="80"/>
        <w:gridCol w:w="60"/>
        <w:gridCol w:w="236"/>
        <w:gridCol w:w="1229"/>
        <w:gridCol w:w="80"/>
        <w:gridCol w:w="60"/>
        <w:gridCol w:w="210"/>
        <w:gridCol w:w="1098"/>
        <w:gridCol w:w="98"/>
      </w:tblGrid>
      <w:tr>
        <w:trPr/>
        <w:tc>
          <w:tcPr>
            <w:tcW w:w="5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March 31, 2025</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76,133</w:t>
            </w:r>
          </w:p>
        </w:tc>
        <w:tc>
          <w:tcPr>
            <w:tcW w:w="98" w:type="dxa"/>
            <w:tcBorders/>
            <w:shd w:fill="CCEEFF" w:val="clear"/>
            <w:vAlign w:val="center"/>
          </w:tcPr>
          <w:p>
            <w:pPr>
              <w:pStyle w:val="TableContents"/>
              <w:bidi w:val="0"/>
              <w:spacing w:before="0" w:after="283"/>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47,765</w:t>
            </w:r>
          </w:p>
        </w:tc>
        <w:tc>
          <w:tcPr>
            <w:tcW w:w="98" w:type="dxa"/>
            <w:tcBorders/>
            <w:shd w:fill="CCEEFF" w:val="clear"/>
            <w:vAlign w:val="center"/>
          </w:tcPr>
          <w:p>
            <w:pPr>
              <w:pStyle w:val="TableContents"/>
              <w:bidi w:val="0"/>
              <w:spacing w:before="0" w:after="283"/>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(61,496</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98" w:type="dxa"/>
            <w:tcBorders/>
            <w:shd w:fill="FFFFFF" w:val="clear"/>
            <w:vAlign w:val="center"/>
          </w:tcPr>
          <w:p>
            <w:pPr>
              <w:pStyle w:val="TableContents"/>
              <w:bidi w:val="0"/>
              <w:spacing w:before="0" w:after="0"/>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63,390</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69"/>
        <w:gridCol w:w="1187"/>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57,829</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balances acquired</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5,049</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70,133</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(52,084</w:t>
            </w:r>
          </w:p>
        </w:tc>
        <w:tc>
          <w:tcPr>
            <w:tcW w:w="9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99" w:type="dxa"/>
            <w:tcBorders/>
            <w:shd w:fill="CCEEFF" w:val="clear"/>
            <w:vAlign w:val="center"/>
          </w:tcPr>
          <w:p>
            <w:pPr>
              <w:pStyle w:val="TableContents"/>
              <w:bidi w:val="0"/>
              <w:spacing w:before="0" w:after="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81,271</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September 30, 2025</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$209.5 </w:t>
      </w:r>
      <w:r>
        <w:rPr>
          <w:rFonts w:ascii="Times New Roman;Times;serif" w:hAnsi="Times New Roman;Times;serif"/>
          <w:sz w:val="20"/>
          <w:shd w:fill="FFFFFF" w:val="clear"/>
        </w:rPr>
        <w:t>million</w:t>
      </w:r>
      <w:r>
        <w:rPr>
          <w:rFonts w:ascii="Times New Roman;Times;serif" w:hAnsi="Times New Roman;Times;serif"/>
          <w:sz w:val="20"/>
        </w:rPr>
        <w:t>. There are also approximately $78.2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2024:</w:t>
      </w:r>
    </w:p>
    <w:p>
      <w:pPr>
        <w:pStyle w:val="TextBody"/>
        <w:bidi w:val="0"/>
        <w:spacing w:before="0" w:after="0"/>
        <w:ind w:left="0" w:right="0" w:hanging="0"/>
        <w:jc w:val="left"/>
        <w:rPr/>
      </w:pPr>
      <w:r>
        <w:rPr/>
        <w:t> </w:t>
      </w:r>
    </w:p>
    <w:tbl>
      <w:tblPr>
        <w:tblW w:w="6371" w:type="dxa"/>
        <w:jc w:val="left"/>
        <w:tblInd w:w="0" w:type="dxa"/>
        <w:tblLayout w:type="fixed"/>
        <w:tblCellMar>
          <w:top w:w="0" w:type="dxa"/>
          <w:left w:w="0" w:type="dxa"/>
          <w:bottom w:w="0" w:type="dxa"/>
          <w:right w:w="0" w:type="dxa"/>
        </w:tblCellMar>
      </w:tblPr>
      <w:tblGrid>
        <w:gridCol w:w="1580"/>
        <w:gridCol w:w="965"/>
        <w:gridCol w:w="60"/>
        <w:gridCol w:w="130"/>
        <w:gridCol w:w="499"/>
        <w:gridCol w:w="401"/>
        <w:gridCol w:w="130"/>
        <w:gridCol w:w="130"/>
        <w:gridCol w:w="499"/>
        <w:gridCol w:w="185"/>
        <w:gridCol w:w="60"/>
        <w:gridCol w:w="112"/>
        <w:gridCol w:w="432"/>
        <w:gridCol w:w="347"/>
        <w:gridCol w:w="112"/>
        <w:gridCol w:w="112"/>
        <w:gridCol w:w="432"/>
        <w:gridCol w:w="185"/>
      </w:tblGrid>
      <w:tr>
        <w:trPr/>
        <w:tc>
          <w:tcPr>
            <w:tcW w:w="15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Reportable</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6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4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3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Anovion LLC</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ind w:left="0" w:right="0" w:hanging="0"/>
              <w:jc w:val="left"/>
              <w:rPr/>
            </w:pPr>
            <w:r>
              <w:rPr/>
              <w:t> </w:t>
            </w:r>
          </w:p>
        </w:tc>
        <w:tc>
          <w:tcPr>
            <w:tcW w:w="62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4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3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ind w:left="0" w:right="0" w:hanging="0"/>
              <w:jc w:val="left"/>
              <w:rPr/>
            </w:pPr>
            <w:r>
              <w:rPr/>
              <w:t> </w:t>
            </w:r>
          </w:p>
        </w:tc>
        <w:tc>
          <w:tcPr>
            <w:tcW w:w="54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Fuji Bridex Pte Ltd</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ind w:left="0" w:right="0" w:hanging="0"/>
              <w:jc w:val="left"/>
              <w:rPr/>
            </w:pPr>
            <w:r>
              <w:rPr/>
              <w:t> </w:t>
            </w:r>
          </w:p>
        </w:tc>
        <w:tc>
          <w:tcPr>
            <w:tcW w:w="62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ind w:left="0" w:right="0" w:hanging="0"/>
              <w:jc w:val="left"/>
              <w:rPr/>
            </w:pPr>
            <w:r>
              <w:rPr/>
              <w:t> </w:t>
            </w:r>
          </w:p>
        </w:tc>
        <w:tc>
          <w:tcPr>
            <w:tcW w:w="62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3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544"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(in thousands):</w:t>
      </w:r>
    </w:p>
    <w:p>
      <w:pPr>
        <w:pStyle w:val="TextBody"/>
        <w:bidi w:val="0"/>
        <w:spacing w:before="0" w:after="0"/>
        <w:ind w:left="0" w:right="0" w:hanging="0"/>
        <w:jc w:val="both"/>
        <w:rPr/>
      </w:pPr>
      <w:r>
        <w:rPr/>
        <w:t> </w:t>
      </w:r>
    </w:p>
    <w:tbl>
      <w:tblPr>
        <w:tblW w:w="8828" w:type="dxa"/>
        <w:jc w:val="left"/>
        <w:tblInd w:w="0" w:type="dxa"/>
        <w:tblLayout w:type="fixed"/>
        <w:tblCellMar>
          <w:top w:w="0" w:type="dxa"/>
          <w:left w:w="0" w:type="dxa"/>
          <w:bottom w:w="0" w:type="dxa"/>
          <w:right w:w="0" w:type="dxa"/>
        </w:tblCellMar>
      </w:tblPr>
      <w:tblGrid>
        <w:gridCol w:w="2855"/>
        <w:gridCol w:w="60"/>
        <w:gridCol w:w="312"/>
        <w:gridCol w:w="1212"/>
        <w:gridCol w:w="150"/>
        <w:gridCol w:w="150"/>
        <w:gridCol w:w="312"/>
        <w:gridCol w:w="837"/>
        <w:gridCol w:w="60"/>
        <w:gridCol w:w="60"/>
        <w:gridCol w:w="257"/>
        <w:gridCol w:w="1000"/>
        <w:gridCol w:w="123"/>
        <w:gridCol w:w="123"/>
        <w:gridCol w:w="257"/>
        <w:gridCol w:w="1000"/>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1,199</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w:t>
            </w:r>
          </w:p>
        </w:tc>
        <w:tc>
          <w:tcPr>
            <w:tcW w:w="15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w:t>
            </w:r>
          </w:p>
        </w:tc>
        <w:tc>
          <w:tcPr>
            <w:tcW w:w="123"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w:t>
            </w:r>
          </w:p>
        </w:tc>
        <w:tc>
          <w:tcPr>
            <w:tcW w:w="60" w:type="dxa"/>
            <w:tcBorders/>
            <w:shd w:fill="CCEEFF" w:val="clear"/>
            <w:vAlign w:val="center"/>
          </w:tcPr>
          <w:p>
            <w:pPr>
              <w:pStyle w:val="TableContents"/>
              <w:bidi w:val="0"/>
              <w:spacing w:before="0" w:after="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7,000 shares and 887,000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respectively. The Company issued no shares and 39,445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respectively. The Company issued 817,500 shares and 842,500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xml:space="preserve">, respectively. The Company issued no shares and 19,200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respectively.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granted no stock options and 2,112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respectively. 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2024</w:t>
      </w:r>
      <w:r>
        <w:rPr>
          <w:rFonts w:ascii="Times New Roman;Times;serif" w:hAnsi="Times New Roman;Times;serif"/>
          <w:sz w:val="20"/>
        </w:rPr>
        <w:t>. The stock options granted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will vest over 2 years. 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less than $0.1 million of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September 30, 2025</w:t>
      </w:r>
      <w:r>
        <w:rPr>
          <w:rFonts w:ascii="Times New Roman;Times;serif" w:hAnsi="Times New Roman;Times;serif"/>
          <w:sz w:val="20"/>
          <w:shd w:fill="FFFFFF" w:val="clear"/>
        </w:rPr>
        <w:t xml:space="preserve">. </w:t>
      </w:r>
      <w:r>
        <w:rPr>
          <w:rFonts w:ascii="Times New Roman;Times;serif" w:hAnsi="Times New Roman;Times;serif"/>
          <w:sz w:val="20"/>
        </w:rPr>
        <w:t xml:space="preserve">This expense will be recognized over a weighted average period of approximately 1.7 years. </w:t>
      </w:r>
      <w:r>
        <w:rPr>
          <w:rFonts w:ascii="Times New Roman;Times;serif" w:hAnsi="Times New Roman;Times;serif"/>
          <w:sz w:val="20"/>
          <w:shd w:fill="FFFFFF" w:val="clear"/>
        </w:rPr>
        <w:t xml:space="preserve">The total unrecognized compensation cost for unvested outstanding restricted stock was </w:t>
      </w:r>
      <w:r>
        <w:rPr>
          <w:rFonts w:ascii="Times New Roman;Times;serif" w:hAnsi="Times New Roman;Times;serif"/>
          <w:sz w:val="20"/>
        </w:rPr>
        <w:t>$28.4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shd w:fill="FFFFFF" w:val="clear"/>
        </w:rPr>
        <w:t>. This expense will be recognized over a weighted-average expense period of approximately 1.9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weighted average assumptions used in the Black Scholes valuation model for stock options granted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2025</w:t>
      </w:r>
      <w:r>
        <w:rPr>
          <w:rFonts w:ascii="Times New Roman;Times;serif" w:hAnsi="Times New Roman;Times;serif"/>
          <w:sz w:val="20"/>
        </w:rPr>
        <w:t> are as follows:</w:t>
      </w:r>
    </w:p>
    <w:p>
      <w:pPr>
        <w:pStyle w:val="TextBody"/>
        <w:bidi w:val="0"/>
        <w:spacing w:before="0" w:after="0"/>
        <w:ind w:left="0" w:right="0" w:hanging="0"/>
        <w:jc w:val="both"/>
        <w:rPr/>
      </w:pPr>
      <w:r>
        <w:rPr/>
        <w:t> </w:t>
      </w:r>
    </w:p>
    <w:tbl>
      <w:tblPr>
        <w:tblW w:w="4754" w:type="dxa"/>
        <w:jc w:val="left"/>
        <w:tblInd w:w="0" w:type="dxa"/>
        <w:tblLayout w:type="fixed"/>
        <w:tblCellMar>
          <w:top w:w="0" w:type="dxa"/>
          <w:left w:w="0" w:type="dxa"/>
          <w:bottom w:w="0" w:type="dxa"/>
          <w:right w:w="0" w:type="dxa"/>
        </w:tblCellMar>
      </w:tblPr>
      <w:tblGrid>
        <w:gridCol w:w="1745"/>
        <w:gridCol w:w="60"/>
        <w:gridCol w:w="301"/>
        <w:gridCol w:w="2463"/>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2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2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2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276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18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per Share of Common Stock</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income per share (“EPS”) is computed by dividing net income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553,740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553,334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406 shares relate to outstanding stock options that were considered anti-dilutive.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514,535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513,926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609 shares relate to outstanding stock options that were considered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535,001 shares were </w:t>
      </w:r>
      <w:r>
        <w:rPr>
          <w:rStyle w:val="Emphasis"/>
          <w:rFonts w:ascii="Times New Roman;Times;serif" w:hAnsi="Times New Roman;Times;serif"/>
          <w:sz w:val="20"/>
        </w:rPr>
        <w:t>not</w:t>
      </w:r>
      <w:r>
        <w:rPr>
          <w:rFonts w:ascii="Times New Roman;Times;serif" w:hAnsi="Times New Roman;Times;serif"/>
          <w:sz w:val="20"/>
        </w:rPr>
        <w:t> included in the calculation of diluted EPS. Of these, 526,333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met. Of the remaining shares, 652 shares relate to outstanding stock awards that were considered anti-dilutive, and 8,016 shares related to ESPP shares and were excluded as they were considered anti-dilutive.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 479,341 shares were </w:t>
      </w:r>
      <w:r>
        <w:rPr>
          <w:rStyle w:val="Emphasis"/>
          <w:rFonts w:ascii="Times New Roman;Times;serif" w:hAnsi="Times New Roman;Times;serif"/>
          <w:sz w:val="20"/>
        </w:rPr>
        <w:t>not</w:t>
      </w:r>
      <w:r>
        <w:rPr>
          <w:rFonts w:ascii="Times New Roman;Times;serif" w:hAnsi="Times New Roman;Times;serif"/>
          <w:sz w:val="20"/>
        </w:rPr>
        <w:t> included in the calculation of diluted EPS. Of these, 469,667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met. Of the remaining shares, 326 shares relate to outstanding stock awards that were considered anti-dilutive, and 9,348 shares related to ESPP shares and were excluded as they were considered anti-dilutive.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37"/>
        <w:gridCol w:w="60"/>
        <w:gridCol w:w="229"/>
        <w:gridCol w:w="1087"/>
        <w:gridCol w:w="147"/>
        <w:gridCol w:w="110"/>
        <w:gridCol w:w="229"/>
        <w:gridCol w:w="1087"/>
        <w:gridCol w:w="80"/>
        <w:gridCol w:w="60"/>
        <w:gridCol w:w="214"/>
        <w:gridCol w:w="1013"/>
        <w:gridCol w:w="136"/>
        <w:gridCol w:w="102"/>
        <w:gridCol w:w="214"/>
        <w:gridCol w:w="1013"/>
        <w:gridCol w:w="87"/>
      </w:tblGrid>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45,170</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43,028</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37,463</w:t>
            </w:r>
          </w:p>
        </w:tc>
        <w:tc>
          <w:tcPr>
            <w:tcW w:w="87" w:type="dxa"/>
            <w:tcBorders/>
            <w:shd w:fill="FFFFFF" w:val="clear"/>
            <w:vAlign w:val="center"/>
          </w:tcPr>
          <w:p>
            <w:pPr>
              <w:pStyle w:val="TableContents"/>
              <w:bidi w:val="0"/>
              <w:spacing w:before="0" w:after="283"/>
              <w:ind w:left="0" w:right="0" w:hanging="0"/>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subject to repurchase</w:t>
            </w:r>
          </w:p>
        </w:tc>
        <w:tc>
          <w:tcPr>
            <w:tcW w:w="60"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1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8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43,242</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41,070</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36,317</w:t>
            </w:r>
          </w:p>
        </w:tc>
        <w:tc>
          <w:tcPr>
            <w:tcW w:w="87" w:type="dxa"/>
            <w:tcBorders/>
            <w:shd w:fill="FFFFFF" w:val="clear"/>
            <w:vAlign w:val="center"/>
          </w:tcPr>
          <w:p>
            <w:pPr>
              <w:pStyle w:val="TableContents"/>
              <w:bidi w:val="0"/>
              <w:spacing w:before="0" w:after="283"/>
              <w:ind w:left="0" w:right="0" w:hanging="0"/>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44,210</w:t>
            </w:r>
          </w:p>
        </w:tc>
        <w:tc>
          <w:tcPr>
            <w:tcW w:w="147"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41,988</w:t>
            </w:r>
          </w:p>
        </w:tc>
        <w:tc>
          <w:tcPr>
            <w:tcW w:w="13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36,951</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60" w:type="dxa"/>
            <w:tcBorders/>
            <w:shd w:fill="FFFF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147"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3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147"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13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87"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0" w:right="144" w:firstLine="72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The Company's goodwill balance relates to the NWL Acquisition in fiscal </w:t>
      </w:r>
      <w:r>
        <w:rPr>
          <w:rStyle w:val="Emphasis"/>
          <w:rFonts w:ascii="Times New Roman;Times;serif" w:hAnsi="Times New Roman;Times;serif"/>
          <w:sz w:val="20"/>
        </w:rPr>
        <w:t>2024,</w:t>
      </w:r>
      <w:r>
        <w:rPr>
          <w:rFonts w:ascii="Times New Roman;Times;serif" w:hAnsi="Times New Roman;Times;serif"/>
          <w:sz w:val="20"/>
        </w:rPr>
        <w:t xml:space="preserve"> the acquisition of Neeltran, Inc. in fiscal </w:t>
      </w:r>
      <w:r>
        <w:rPr>
          <w:rStyle w:val="Emphasis"/>
          <w:rFonts w:ascii="Times New Roman;Times;serif" w:hAnsi="Times New Roman;Times;serif"/>
          <w:sz w:val="20"/>
        </w:rPr>
        <w:t>2021</w:t>
      </w:r>
      <w:r>
        <w:rPr>
          <w:rFonts w:ascii="Times New Roman;Times;serif" w:hAnsi="Times New Roman;Times;serif"/>
          <w:i/>
          <w:sz w:val="20"/>
        </w:rPr>
        <w:t>,</w:t>
      </w:r>
      <w:r>
        <w:rPr>
          <w:rFonts w:ascii="Times New Roman;Times;serif" w:hAnsi="Times New Roman;Times;serif"/>
          <w:sz w:val="20"/>
        </w:rPr>
        <w:t> the Northeast Power Systems, Inc. ("NEPSI") acquisition in fiscal </w:t>
      </w:r>
      <w:r>
        <w:rPr>
          <w:rStyle w:val="Emphasis"/>
          <w:rFonts w:ascii="Times New Roman;Times;serif" w:hAnsi="Times New Roman;Times;serif"/>
          <w:sz w:val="20"/>
        </w:rPr>
        <w:t>2020</w:t>
      </w:r>
      <w:r>
        <w:rPr>
          <w:rFonts w:ascii="Times New Roman;Times;serif" w:hAnsi="Times New Roman;Times;serif"/>
          <w:i/>
          <w:sz w:val="20"/>
        </w:rPr>
        <w:t>,</w:t>
      </w:r>
      <w:r>
        <w:rPr>
          <w:rFonts w:ascii="Times New Roman;Times;serif" w:hAnsi="Times New Roman;Times;serif"/>
          <w:sz w:val="20"/>
        </w:rPr>
        <w:t> and the acquisition of Infinia Technology Corporation in fiscal </w:t>
      </w:r>
      <w:r>
        <w:rPr>
          <w:rStyle w:val="Emphasis"/>
          <w:rFonts w:ascii="Times New Roman;Times;serif" w:hAnsi="Times New Roman;Times;serif"/>
          <w:sz w:val="20"/>
        </w:rPr>
        <w:t>2017</w:t>
      </w:r>
      <w:r>
        <w:rPr>
          <w:rFonts w:ascii="Times New Roman;Times;serif" w:hAnsi="Times New Roman;Times;serif"/>
          <w:sz w:val="20"/>
        </w:rPr>
        <w:t xml:space="preserve"> and is reported in the Grid business segment.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Goodwill increased by $4.7 million during the fiscal year ended </w:t>
      </w:r>
      <w:r>
        <w:rPr>
          <w:rStyle w:val="Emphasis"/>
          <w:rFonts w:ascii="Times New Roman;Times;serif" w:hAnsi="Times New Roman;Times;serif"/>
          <w:sz w:val="20"/>
        </w:rPr>
        <w:t xml:space="preserve"> March 31, 2025, </w:t>
      </w:r>
      <w:r>
        <w:rPr>
          <w:rFonts w:ascii="Times New Roman;Times;serif" w:hAnsi="Times New Roman;Times;serif"/>
          <w:sz w:val="20"/>
        </w:rPr>
        <w:t>related to the NWL Acquisition. There were no changes to Goodwill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did not identify any triggers to assess impairment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or </w:t>
      </w:r>
      <w:r>
        <w:rPr>
          <w:rStyle w:val="Emphasis"/>
          <w:rFonts w:ascii="Times New Roman;Times;serif" w:hAnsi="Times New Roman;Times;serif"/>
          <w:sz w:val="20"/>
        </w:rPr>
        <w:t>2024.</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September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15"/>
        <w:gridCol w:w="60"/>
        <w:gridCol w:w="154"/>
        <w:gridCol w:w="726"/>
        <w:gridCol w:w="60"/>
        <w:gridCol w:w="60"/>
        <w:gridCol w:w="243"/>
        <w:gridCol w:w="1270"/>
        <w:gridCol w:w="80"/>
        <w:gridCol w:w="60"/>
        <w:gridCol w:w="177"/>
        <w:gridCol w:w="687"/>
        <w:gridCol w:w="60"/>
        <w:gridCol w:w="60"/>
        <w:gridCol w:w="154"/>
        <w:gridCol w:w="726"/>
        <w:gridCol w:w="60"/>
        <w:gridCol w:w="60"/>
        <w:gridCol w:w="243"/>
        <w:gridCol w:w="1270"/>
        <w:gridCol w:w="80"/>
        <w:gridCol w:w="60"/>
        <w:gridCol w:w="177"/>
        <w:gridCol w:w="687"/>
        <w:gridCol w:w="60"/>
        <w:gridCol w:w="60"/>
        <w:gridCol w:w="244"/>
        <w:gridCol w:w="945"/>
        <w:gridCol w:w="67"/>
      </w:tblGrid>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 Life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$0.3 million and $0.7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shd w:fill="FFFFFF" w:val="clear"/>
        </w:rPr>
        <w:t>, respectively. </w:t>
      </w:r>
      <w:r>
        <w:rPr>
          <w:rFonts w:ascii="Times New Roman;Times;serif" w:hAnsi="Times New Roman;Times;serif"/>
          <w:sz w:val="20"/>
        </w:rPr>
        <w:t xml:space="preserve">The Company recorded intangible amortization expense related to customer relationship and core technology and know-how of </w:t>
      </w:r>
      <w:r>
        <w:rPr>
          <w:rFonts w:ascii="Times New Roman;Times;serif" w:hAnsi="Times New Roman;Times;serif"/>
          <w:sz w:val="20"/>
          <w:shd w:fill="FFFFFF" w:val="clear"/>
        </w:rPr>
        <w:t>$0.4 million and $0.8 million</w:t>
      </w:r>
      <w:r>
        <w:rPr>
          <w:rFonts w:ascii="Times New Roman;Times;serif" w:hAnsi="Times New Roman;Times;serif"/>
          <w:sz w:val="20"/>
        </w:rPr>
        <w:t xml:space="preserve"> in </w:t>
      </w:r>
      <w:r>
        <w:rPr>
          <w:rFonts w:ascii="Times New Roman;Times;serif" w:hAnsi="Times New Roman;Times;serif"/>
          <w:sz w:val="20"/>
          <w:shd w:fill="FFFFFF" w:val="clear"/>
        </w:rPr>
        <w:t>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w:t>
      </w:r>
      <w:r>
        <w:rPr>
          <w:rFonts w:ascii="Times New Roman;Times;serif" w:hAnsi="Times New Roman;Times;serif"/>
          <w:sz w:val="20"/>
        </w:rPr>
        <w:t xml:space="preserve"> ended </w:t>
      </w:r>
      <w:r>
        <w:rPr>
          <w:rStyle w:val="Emphasis"/>
          <w:rFonts w:ascii="Times New Roman;Times;serif" w:hAnsi="Times New Roman;Times;serif"/>
          <w:sz w:val="20"/>
        </w:rPr>
        <w:t xml:space="preserve"> September 30,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1,213</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or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Short-term Cash Instruments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Short-term cash instruments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are classified within Level </w:t>
      </w:r>
      <w:r>
        <w:rPr>
          <w:rStyle w:val="Emphasis"/>
          <w:rFonts w:ascii="Times New Roman;Times;serif" w:hAnsi="Times New Roman;Times;serif"/>
          <w:sz w:val="20"/>
        </w:rPr>
        <w:t>2</w:t>
      </w:r>
      <w:r>
        <w:rPr>
          <w:rFonts w:ascii="Times New Roman;Times;serif" w:hAnsi="Times New Roman;Times;serif"/>
          <w:sz w:val="20"/>
        </w:rPr>
        <w:t> of the valuation hierarchy. Short-term cash instruments consist principally of certificates of deposits.</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930"/>
        <w:gridCol w:w="60"/>
        <w:gridCol w:w="194"/>
        <w:gridCol w:w="1081"/>
        <w:gridCol w:w="60"/>
        <w:gridCol w:w="60"/>
        <w:gridCol w:w="311"/>
        <w:gridCol w:w="1731"/>
        <w:gridCol w:w="60"/>
        <w:gridCol w:w="60"/>
        <w:gridCol w:w="459"/>
        <w:gridCol w:w="1791"/>
        <w:gridCol w:w="60"/>
        <w:gridCol w:w="60"/>
        <w:gridCol w:w="720"/>
        <w:gridCol w:w="1503"/>
        <w:gridCol w:w="65"/>
      </w:tblGrid>
      <w:tr>
        <w:trPr/>
        <w:tc>
          <w:tcPr>
            <w:tcW w:w="1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9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September 30, 2025:</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9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93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sz w:val="20"/>
              </w:rPr>
            </w:pPr>
            <w:r>
              <w:rPr>
                <w:sz w:val="20"/>
              </w:rPr>
              <w:t>$</w:t>
            </w:r>
          </w:p>
        </w:tc>
        <w:tc>
          <w:tcPr>
            <w:tcW w:w="1081" w:type="dxa"/>
            <w:tcBorders/>
            <w:shd w:fill="CCEEFF" w:val="clear"/>
            <w:vAlign w:val="center"/>
          </w:tcPr>
          <w:p>
            <w:pPr>
              <w:pStyle w:val="TableContents"/>
              <w:bidi w:val="0"/>
              <w:spacing w:before="0" w:after="283"/>
              <w:ind w:left="0" w:right="0" w:hanging="0"/>
              <w:jc w:val="right"/>
              <w:rPr>
                <w:sz w:val="20"/>
              </w:rPr>
            </w:pPr>
            <w:r>
              <w:rPr>
                <w:sz w:val="20"/>
              </w:rPr>
              <w:t>177,543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sz w:val="20"/>
              </w:rPr>
            </w:pPr>
            <w:r>
              <w:rPr>
                <w:sz w:val="20"/>
              </w:rPr>
              <w:t>$</w:t>
            </w:r>
          </w:p>
        </w:tc>
        <w:tc>
          <w:tcPr>
            <w:tcW w:w="1731" w:type="dxa"/>
            <w:tcBorders/>
            <w:shd w:fill="CCEEFF" w:val="clear"/>
            <w:vAlign w:val="center"/>
          </w:tcPr>
          <w:p>
            <w:pPr>
              <w:pStyle w:val="TableContents"/>
              <w:bidi w:val="0"/>
              <w:spacing w:before="0" w:after="283"/>
              <w:ind w:left="0" w:right="0" w:hanging="0"/>
              <w:jc w:val="right"/>
              <w:rPr>
                <w:sz w:val="20"/>
              </w:rPr>
            </w:pPr>
            <w:r>
              <w:rPr>
                <w:sz w:val="20"/>
              </w:rPr>
              <w:t>177,543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left"/>
              <w:rPr>
                <w:sz w:val="20"/>
              </w:rPr>
            </w:pPr>
            <w:r>
              <w:rPr>
                <w:sz w:val="20"/>
              </w:rPr>
              <w:t>$</w:t>
            </w:r>
          </w:p>
        </w:tc>
        <w:tc>
          <w:tcPr>
            <w:tcW w:w="17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left"/>
              <w:rPr>
                <w:sz w:val="20"/>
              </w:rPr>
            </w:pPr>
            <w:r>
              <w:rPr>
                <w:sz w:val="20"/>
              </w:rPr>
              <w:t>$</w:t>
            </w:r>
          </w:p>
        </w:tc>
        <w:tc>
          <w:tcPr>
            <w:tcW w:w="150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93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Short-term cash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sz w:val="20"/>
              </w:rPr>
            </w:pPr>
            <w:r>
              <w:rPr>
                <w:sz w:val="20"/>
              </w:rPr>
              <w:t>$</w:t>
            </w:r>
          </w:p>
        </w:tc>
        <w:tc>
          <w:tcPr>
            <w:tcW w:w="1081" w:type="dxa"/>
            <w:tcBorders/>
            <w:shd w:fill="FFFFFF" w:val="clear"/>
            <w:vAlign w:val="center"/>
          </w:tcPr>
          <w:p>
            <w:pPr>
              <w:pStyle w:val="TableContents"/>
              <w:bidi w:val="0"/>
              <w:spacing w:before="0" w:after="283"/>
              <w:ind w:left="0" w:right="0" w:hanging="0"/>
              <w:jc w:val="right"/>
              <w:rPr>
                <w:sz w:val="20"/>
              </w:rPr>
            </w:pPr>
            <w:r>
              <w:rPr>
                <w:sz w:val="20"/>
              </w:rPr>
              <w:t>1,351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shd w:fill="FFFFFF" w:val="clear"/>
            <w:vAlign w:val="center"/>
          </w:tcPr>
          <w:p>
            <w:pPr>
              <w:pStyle w:val="TableContents"/>
              <w:bidi w:val="0"/>
              <w:spacing w:before="0" w:after="283"/>
              <w:ind w:left="0" w:right="0" w:hanging="0"/>
              <w:jc w:val="left"/>
              <w:rPr>
                <w:sz w:val="20"/>
              </w:rPr>
            </w:pPr>
            <w:r>
              <w:rPr>
                <w:sz w:val="20"/>
              </w:rPr>
              <w:t>$</w:t>
            </w:r>
          </w:p>
        </w:tc>
        <w:tc>
          <w:tcPr>
            <w:tcW w:w="17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 w:type="dxa"/>
            <w:tcBorders/>
            <w:shd w:fill="FFFFFF" w:val="clear"/>
            <w:vAlign w:val="center"/>
          </w:tcPr>
          <w:p>
            <w:pPr>
              <w:pStyle w:val="TableContents"/>
              <w:bidi w:val="0"/>
              <w:spacing w:before="0" w:after="283"/>
              <w:ind w:left="0" w:right="0" w:hanging="0"/>
              <w:jc w:val="left"/>
              <w:rPr>
                <w:sz w:val="20"/>
              </w:rPr>
            </w:pPr>
            <w:r>
              <w:rPr>
                <w:sz w:val="20"/>
              </w:rPr>
              <w:t>$</w:t>
            </w:r>
          </w:p>
        </w:tc>
        <w:tc>
          <w:tcPr>
            <w:tcW w:w="1791" w:type="dxa"/>
            <w:tcBorders/>
            <w:shd w:fill="FFFFFF" w:val="clear"/>
            <w:vAlign w:val="center"/>
          </w:tcPr>
          <w:p>
            <w:pPr>
              <w:pStyle w:val="TableContents"/>
              <w:bidi w:val="0"/>
              <w:spacing w:before="0" w:after="283"/>
              <w:ind w:left="0" w:right="0" w:hanging="0"/>
              <w:jc w:val="right"/>
              <w:rPr>
                <w:sz w:val="20"/>
              </w:rPr>
            </w:pPr>
            <w:r>
              <w:rPr>
                <w:sz w:val="20"/>
              </w:rPr>
              <w:t>1,351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left"/>
              <w:rPr>
                <w:sz w:val="20"/>
              </w:rPr>
            </w:pPr>
            <w:r>
              <w:rPr>
                <w:sz w:val="20"/>
              </w:rPr>
              <w:t>$</w:t>
            </w:r>
          </w:p>
        </w:tc>
        <w:tc>
          <w:tcPr>
            <w:tcW w:w="1503"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7"/>
        <w:gridCol w:w="60"/>
        <w:gridCol w:w="225"/>
        <w:gridCol w:w="1069"/>
        <w:gridCol w:w="60"/>
        <w:gridCol w:w="60"/>
        <w:gridCol w:w="368"/>
        <w:gridCol w:w="1737"/>
        <w:gridCol w:w="60"/>
        <w:gridCol w:w="60"/>
        <w:gridCol w:w="484"/>
        <w:gridCol w:w="1888"/>
        <w:gridCol w:w="60"/>
        <w:gridCol w:w="60"/>
        <w:gridCol w:w="753"/>
        <w:gridCol w:w="1571"/>
        <w:gridCol w:w="63"/>
      </w:tblGrid>
      <w:tr>
        <w:trPr/>
        <w:tc>
          <w:tcPr>
            <w:tcW w:w="1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left"/>
              <w:rPr/>
            </w:pPr>
            <w:r>
              <w:rPr/>
              <w:t> </w:t>
            </w:r>
          </w:p>
        </w:tc>
        <w:tc>
          <w:tcPr>
            <w:tcW w:w="157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pPr>
            <w:r>
              <w:rPr/>
              <w:t> </w:t>
            </w:r>
          </w:p>
        </w:tc>
        <w:tc>
          <w:tcPr>
            <w:tcW w:w="157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1"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cash instruments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7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758" w:type="dxa"/>
        <w:jc w:val="left"/>
        <w:tblInd w:w="0" w:type="dxa"/>
        <w:tblLayout w:type="fixed"/>
        <w:tblCellMar>
          <w:top w:w="0" w:type="dxa"/>
          <w:left w:w="0" w:type="dxa"/>
          <w:bottom w:w="0" w:type="dxa"/>
          <w:right w:w="0" w:type="dxa"/>
        </w:tblCellMar>
      </w:tblPr>
      <w:tblGrid>
        <w:gridCol w:w="2525"/>
        <w:gridCol w:w="60"/>
        <w:gridCol w:w="288"/>
        <w:gridCol w:w="1366"/>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39,810</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5113" w:type="dxa"/>
        <w:jc w:val="left"/>
        <w:tblInd w:w="0" w:type="dxa"/>
        <w:tblLayout w:type="fixed"/>
        <w:tblCellMar>
          <w:top w:w="0" w:type="dxa"/>
          <w:left w:w="0" w:type="dxa"/>
          <w:bottom w:w="0" w:type="dxa"/>
          <w:right w:w="0" w:type="dxa"/>
        </w:tblCellMar>
      </w:tblPr>
      <w:tblGrid>
        <w:gridCol w:w="1880"/>
        <w:gridCol w:w="60"/>
        <w:gridCol w:w="288"/>
        <w:gridCol w:w="1366"/>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35,892</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19,633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5,756</w:t>
            </w:r>
          </w:p>
        </w:tc>
        <w:tc>
          <w:tcPr>
            <w:tcW w:w="60" w:type="dxa"/>
            <w:tcBorders/>
            <w:shd w:fill="FFFFFF" w:val="clear"/>
            <w:vAlign w:val="center"/>
          </w:tcPr>
          <w:p>
            <w:pPr>
              <w:pStyle w:val="TableContents"/>
              <w:bidi w:val="0"/>
              <w:spacing w:before="0" w:after="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$1.1 million and $0.3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2025</w:t>
      </w:r>
      <w:r>
        <w:rPr>
          <w:rFonts w:ascii="Times New Roman;Times;serif" w:hAnsi="Times New Roman;Times;serif"/>
          <w:sz w:val="20"/>
          <w:shd w:fill="FFFFFF" w:val="clear"/>
        </w:rPr>
        <w:t> and </w:t>
      </w:r>
      <w:r>
        <w:rPr>
          <w:rStyle w:val="Emphasis"/>
          <w:rFonts w:ascii="Times New Roman;Times;serif" w:hAnsi="Times New Roman;Times;serif"/>
          <w:sz w:val="20"/>
        </w:rPr>
        <w:t>2024</w:t>
      </w:r>
      <w:r>
        <w:rPr>
          <w:rFonts w:ascii="Times New Roman;Times;serif" w:hAnsi="Times New Roman;Times;serif"/>
          <w:sz w:val="20"/>
          <w:shd w:fill="FFFFFF" w:val="clear"/>
        </w:rPr>
        <w:t>, respectively.</w:t>
      </w:r>
      <w:r>
        <w:rPr>
          <w:rFonts w:ascii="Times New Roman;Times;serif" w:hAnsi="Times New Roman;Times;serif"/>
          <w:sz w:val="20"/>
        </w:rPr>
        <w:t> </w:t>
      </w:r>
      <w:r>
        <w:rPr>
          <w:rFonts w:ascii="Times New Roman;Times;serif" w:hAnsi="Times New Roman;Times;serif"/>
          <w:sz w:val="20"/>
          <w:shd w:fill="FFFFFF" w:val="clear"/>
        </w:rPr>
        <w:t>The Company recorded inventory write-downs of $1.8 million and $0.8 million </w:t>
      </w:r>
      <w:r>
        <w:rPr>
          <w:rFonts w:ascii="Times New Roman;Times;serif" w:hAnsi="Times New Roman;Times;serif"/>
          <w:sz w:val="20"/>
        </w:rPr>
        <w:t>f</w:t>
      </w:r>
      <w:r>
        <w:rPr>
          <w:rFonts w:ascii="Times New Roman;Times;serif" w:hAnsi="Times New Roman;Times;serif"/>
          <w:sz w:val="20"/>
          <w:shd w:fill="FFFFFF" w:val="clear"/>
        </w:rPr>
        <w:t>or 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2025</w:t>
      </w:r>
      <w:r>
        <w:rPr>
          <w:rFonts w:ascii="Times New Roman;Times;serif" w:hAnsi="Times New Roman;Times;serif"/>
          <w:sz w:val="20"/>
          <w:shd w:fill="FFFFFF" w:val="clear"/>
        </w:rPr>
        <w:t> and </w:t>
      </w:r>
      <w:r>
        <w:rPr>
          <w:rStyle w:val="Emphasis"/>
          <w:rFonts w:ascii="Times New Roman;Times;serif" w:hAnsi="Times New Roman;Times;serif"/>
          <w:sz w:val="20"/>
        </w:rPr>
        <w:t>2024</w:t>
      </w:r>
      <w:r>
        <w:rPr>
          <w:rFonts w:ascii="Times New Roman;Times;serif" w:hAnsi="Times New Roman;Times;serif"/>
          <w:sz w:val="20"/>
          <w:shd w:fill="FFFFFF" w:val="clear"/>
        </w:rPr>
        <w:t>, respectively. </w:t>
      </w:r>
      <w:r>
        <w:rPr>
          <w:rFonts w:ascii="Times New Roman;Times;serif" w:hAnsi="Times New Roman;Times;serif"/>
          <w:sz w:val="20"/>
        </w:rPr>
        <w:t>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6353" w:type="dxa"/>
        <w:jc w:val="left"/>
        <w:tblInd w:w="0" w:type="dxa"/>
        <w:tblLayout w:type="fixed"/>
        <w:tblCellMar>
          <w:top w:w="0" w:type="dxa"/>
          <w:left w:w="0" w:type="dxa"/>
          <w:bottom w:w="0" w:type="dxa"/>
          <w:right w:w="0" w:type="dxa"/>
        </w:tblCellMar>
      </w:tblPr>
      <w:tblGrid>
        <w:gridCol w:w="3080"/>
        <w:gridCol w:w="60"/>
        <w:gridCol w:w="265"/>
        <w:gridCol w:w="1389"/>
        <w:gridCol w:w="80"/>
        <w:gridCol w:w="60"/>
        <w:gridCol w:w="216"/>
        <w:gridCol w:w="1123"/>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7,528</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47,774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7,969</w:t>
            </w:r>
          </w:p>
        </w:tc>
        <w:tc>
          <w:tcPr>
            <w:tcW w:w="80" w:type="dxa"/>
            <w:tcBorders/>
            <w:shd w:fill="FFFFFF" w:val="clear"/>
            <w:vAlign w:val="center"/>
          </w:tcPr>
          <w:p>
            <w:pPr>
              <w:pStyle w:val="TableContents"/>
              <w:bidi w:val="0"/>
              <w:spacing w:before="0" w:after="0"/>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 </w:t>
            </w:r>
          </w:p>
        </w:tc>
        <w:tc>
          <w:tcPr>
            <w:tcW w:w="13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88,964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(50,392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$0.9 million and $0.8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respectively. Depreciation expense was $1.8 million and $1.4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Equity-Method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the Compa</w:t>
      </w:r>
      <w:r>
        <w:rPr>
          <w:rFonts w:ascii="Times New Roman;Times;serif" w:hAnsi="Times New Roman;Times;serif"/>
          <w:sz w:val="20"/>
          <w:shd w:fill="FFFFFF" w:val="clear"/>
        </w:rPr>
        <w:t xml:space="preserve">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material accounts receivable nor accounts payable balances wi</w:t>
      </w:r>
      <w:r>
        <w:rPr>
          <w:rFonts w:ascii="Times New Roman;Times;serif" w:hAnsi="Times New Roman;Times;serif"/>
          <w:sz w:val="20"/>
        </w:rPr>
        <w:t>th NWL Pacific. The Company's investment in NWL Pacific was $1.5 million and $1.1 million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March 31, 2025, </w:t>
      </w:r>
      <w:r>
        <w:rPr>
          <w:rFonts w:ascii="Times New Roman;Times;serif" w:hAnsi="Times New Roman;Times;serif"/>
          <w:sz w:val="20"/>
        </w:rPr>
        <w:t>respectively.</w:t>
      </w:r>
    </w:p>
    <w:p>
      <w:pPr>
        <w:pStyle w:val="TextBody"/>
        <w:bidi w:val="0"/>
        <w:spacing w:before="0" w:after="0"/>
        <w:ind w:left="0" w:right="0" w:firstLine="720"/>
        <w:jc w:val="both"/>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summarized financial information for periods presented post acquisition,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tbl>
      <w:tblPr>
        <w:tblW w:w="7843" w:type="dxa"/>
        <w:jc w:val="left"/>
        <w:tblInd w:w="0" w:type="dxa"/>
        <w:tblLayout w:type="fixed"/>
        <w:tblCellMar>
          <w:top w:w="0" w:type="dxa"/>
          <w:left w:w="0" w:type="dxa"/>
          <w:bottom w:w="0" w:type="dxa"/>
          <w:right w:w="0" w:type="dxa"/>
        </w:tblCellMar>
      </w:tblPr>
      <w:tblGrid>
        <w:gridCol w:w="1865"/>
        <w:gridCol w:w="60"/>
        <w:gridCol w:w="608"/>
        <w:gridCol w:w="2366"/>
        <w:gridCol w:w="60"/>
        <w:gridCol w:w="60"/>
        <w:gridCol w:w="565"/>
        <w:gridCol w:w="2199"/>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left"/>
              <w:rPr>
                <w:sz w:val="20"/>
              </w:rPr>
            </w:pPr>
            <w:r>
              <w:rPr>
                <w:sz w:val="20"/>
              </w:rPr>
              <w:t>$</w:t>
            </w:r>
          </w:p>
        </w:tc>
        <w:tc>
          <w:tcPr>
            <w:tcW w:w="2366" w:type="dxa"/>
            <w:tcBorders/>
            <w:shd w:fill="CCEEFF" w:val="clear"/>
            <w:vAlign w:val="center"/>
          </w:tcPr>
          <w:p>
            <w:pPr>
              <w:pStyle w:val="TableContents"/>
              <w:bidi w:val="0"/>
              <w:spacing w:before="0" w:after="283"/>
              <w:ind w:left="0" w:right="0" w:hanging="0"/>
              <w:jc w:val="right"/>
              <w:rPr>
                <w:sz w:val="20"/>
              </w:rPr>
            </w:pPr>
            <w:r>
              <w:rPr>
                <w:sz w:val="20"/>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left"/>
              <w:rPr>
                <w:sz w:val="20"/>
              </w:rPr>
            </w:pPr>
            <w:r>
              <w:rPr>
                <w:sz w:val="20"/>
              </w:rPr>
              <w:t>$</w:t>
            </w:r>
          </w:p>
        </w:tc>
        <w:tc>
          <w:tcPr>
            <w:tcW w:w="2199" w:type="dxa"/>
            <w:tcBorders/>
            <w:shd w:fill="CCEEFF" w:val="clear"/>
            <w:vAlign w:val="center"/>
          </w:tcPr>
          <w:p>
            <w:pPr>
              <w:pStyle w:val="TableContents"/>
              <w:bidi w:val="0"/>
              <w:spacing w:before="0" w:after="283"/>
              <w:ind w:left="0" w:right="0" w:hanging="0"/>
              <w:jc w:val="right"/>
              <w:rPr>
                <w:sz w:val="20"/>
              </w:rPr>
            </w:pPr>
            <w:r>
              <w:rPr>
                <w:sz w:val="20"/>
              </w:rPr>
              <w:t>3,686</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ind w:left="0" w:right="0" w:hanging="0"/>
              <w:jc w:val="left"/>
              <w:rPr/>
            </w:pPr>
            <w:r>
              <w:rPr/>
              <w:t> </w:t>
            </w:r>
          </w:p>
        </w:tc>
        <w:tc>
          <w:tcPr>
            <w:tcW w:w="2366" w:type="dxa"/>
            <w:tcBorders/>
            <w:shd w:fill="FFFFFF" w:val="clear"/>
            <w:vAlign w:val="center"/>
          </w:tcPr>
          <w:p>
            <w:pPr>
              <w:pStyle w:val="TableContents"/>
              <w:bidi w:val="0"/>
              <w:spacing w:before="0" w:after="283"/>
              <w:ind w:left="0" w:right="0" w:hanging="0"/>
              <w:jc w:val="right"/>
              <w:rPr>
                <w:sz w:val="20"/>
              </w:rPr>
            </w:pPr>
            <w:r>
              <w:rPr>
                <w:sz w:val="20"/>
              </w:rPr>
              <w:t>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ind w:left="0" w:right="0" w:hanging="0"/>
              <w:jc w:val="left"/>
              <w:rPr/>
            </w:pPr>
            <w:r>
              <w:rPr/>
              <w:t> </w:t>
            </w:r>
          </w:p>
        </w:tc>
        <w:tc>
          <w:tcPr>
            <w:tcW w:w="2199" w:type="dxa"/>
            <w:tcBorders/>
            <w:shd w:fill="FFFFFF" w:val="clear"/>
            <w:vAlign w:val="center"/>
          </w:tcPr>
          <w:p>
            <w:pPr>
              <w:pStyle w:val="TableContents"/>
              <w:bidi w:val="0"/>
              <w:spacing w:before="0" w:after="283"/>
              <w:ind w:left="0" w:right="0" w:hanging="0"/>
              <w:jc w:val="right"/>
              <w:rPr>
                <w:sz w:val="20"/>
              </w:rPr>
            </w:pPr>
            <w:r>
              <w:rPr>
                <w:sz w:val="20"/>
              </w:rPr>
              <w:t>1,654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from operation</w:t>
            </w:r>
          </w:p>
        </w:tc>
        <w:tc>
          <w:tcPr>
            <w:tcW w:w="60" w:type="dxa"/>
            <w:tcBorders/>
            <w:shd w:fill="CCEEFF" w:val="clear"/>
            <w:vAlign w:val="center"/>
          </w:tcPr>
          <w:p>
            <w:pPr>
              <w:pStyle w:val="TableContents"/>
              <w:bidi w:val="0"/>
              <w:spacing w:before="0" w:after="283"/>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755</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2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2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6373" w:type="dxa"/>
        <w:jc w:val="left"/>
        <w:tblInd w:w="0" w:type="dxa"/>
        <w:tblLayout w:type="fixed"/>
        <w:tblCellMar>
          <w:top w:w="0" w:type="dxa"/>
          <w:left w:w="0" w:type="dxa"/>
          <w:bottom w:w="0" w:type="dxa"/>
          <w:right w:w="0" w:type="dxa"/>
        </w:tblCellMar>
      </w:tblPr>
      <w:tblGrid>
        <w:gridCol w:w="3140"/>
        <w:gridCol w:w="60"/>
        <w:gridCol w:w="288"/>
        <w:gridCol w:w="1366"/>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20"/>
              </w:rPr>
            </w:pPr>
            <w:r>
              <w:rPr>
                <w:sz w:val="20"/>
              </w:rPr>
              <w:t>$</w:t>
            </w:r>
          </w:p>
        </w:tc>
        <w:tc>
          <w:tcPr>
            <w:tcW w:w="1366" w:type="dxa"/>
            <w:tcBorders/>
            <w:shd w:fill="CCEEFF" w:val="clear"/>
            <w:vAlign w:val="center"/>
          </w:tcPr>
          <w:p>
            <w:pPr>
              <w:pStyle w:val="TableContents"/>
              <w:bidi w:val="0"/>
              <w:spacing w:before="0" w:after="283"/>
              <w:jc w:val="right"/>
              <w:rPr>
                <w:sz w:val="20"/>
              </w:rPr>
            </w:pPr>
            <w:r>
              <w:rPr>
                <w:sz w:val="20"/>
              </w:rPr>
              <w:t>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6,733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3,343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2,111</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4,435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3,600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4,495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1,267</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9,902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13,418</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3,033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1,200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1,718</w:t>
            </w:r>
          </w:p>
        </w:tc>
        <w:tc>
          <w:tcPr>
            <w:tcW w:w="60" w:type="dxa"/>
            <w:tcBorders/>
            <w:shd w:fill="CCEEFF" w:val="clear"/>
            <w:vAlign w:val="center"/>
          </w:tcPr>
          <w:p>
            <w:pPr>
              <w:pStyle w:val="TableContents"/>
              <w:bidi w:val="0"/>
              <w:spacing w:before="0" w:after="0"/>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32,282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9485" w:type="dxa"/>
        <w:jc w:val="left"/>
        <w:tblInd w:w="0" w:type="dxa"/>
        <w:tblLayout w:type="fixed"/>
        <w:tblCellMar>
          <w:top w:w="0" w:type="dxa"/>
          <w:left w:w="0" w:type="dxa"/>
          <w:bottom w:w="0" w:type="dxa"/>
          <w:right w:w="0" w:type="dxa"/>
        </w:tblCellMar>
      </w:tblPr>
      <w:tblGrid>
        <w:gridCol w:w="3470"/>
        <w:gridCol w:w="60"/>
        <w:gridCol w:w="273"/>
        <w:gridCol w:w="1060"/>
        <w:gridCol w:w="175"/>
        <w:gridCol w:w="131"/>
        <w:gridCol w:w="273"/>
        <w:gridCol w:w="1060"/>
        <w:gridCol w:w="80"/>
        <w:gridCol w:w="60"/>
        <w:gridCol w:w="254"/>
        <w:gridCol w:w="986"/>
        <w:gridCol w:w="162"/>
        <w:gridCol w:w="121"/>
        <w:gridCol w:w="254"/>
        <w:gridCol w:w="986"/>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3,240</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3,033</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warranty obligations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pPr>
            <w:r>
              <w:rPr/>
              <w:t>—</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for warranties during the period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1,069</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during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16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expense of $0.1 million and $0.3 million for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September 30, 2025</w:t>
      </w:r>
      <w:r>
        <w:rPr>
          <w:rFonts w:ascii="Times New Roman;Times;serif" w:hAnsi="Times New Roman;Times;serif"/>
          <w:sz w:val="20"/>
          <w:shd w:fill="FFFFFF" w:val="clear"/>
        </w:rPr>
        <w:t>, respectively, and income tax benefit of $5.0 million and $4.8 million for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shd w:fill="FFFFFF" w:val="clear"/>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4, 2025, </w:t>
      </w:r>
      <w:r>
        <w:rPr>
          <w:rFonts w:ascii="Times New Roman;Times;serif" w:hAnsi="Times New Roman;Times;serif"/>
          <w:sz w:val="20"/>
        </w:rPr>
        <w:t xml:space="preserve">the reconciliation bill, commonly referred to as the One Big Beautiful Bill ("OBBB") was signed into law, which includes a broad range of tax reform provisions that </w:t>
      </w:r>
      <w:r>
        <w:rPr>
          <w:rStyle w:val="Emphasis"/>
          <w:rFonts w:ascii="Times New Roman;Times;serif" w:hAnsi="Times New Roman;Times;serif"/>
          <w:sz w:val="20"/>
        </w:rPr>
        <w:t xml:space="preserve">may </w:t>
      </w:r>
      <w:r>
        <w:rPr>
          <w:rFonts w:ascii="Times New Roman;Times;serif" w:hAnsi="Times New Roman;Times;serif"/>
          <w:sz w:val="20"/>
        </w:rPr>
        <w:t xml:space="preserve">affect the company's financial results. The OBBB allows an elective deduction for domestic Research and Development (R&amp;D), a reinstatement of elective </w:t>
      </w:r>
      <w:r>
        <w:rPr>
          <w:rStyle w:val="Emphasis"/>
          <w:rFonts w:ascii="Times New Roman;Times;serif" w:hAnsi="Times New Roman;Times;serif"/>
          <w:sz w:val="20"/>
        </w:rPr>
        <w:t>100%</w:t>
      </w:r>
      <w:r>
        <w:rPr>
          <w:rFonts w:ascii="Times New Roman;Times;serif" w:hAnsi="Times New Roman;Times;serif"/>
          <w:sz w:val="20"/>
        </w:rPr>
        <w:t xml:space="preserve"> </w:t>
      </w:r>
      <w:r>
        <w:rPr>
          <w:rStyle w:val="Emphasis"/>
          <w:rFonts w:ascii="Times New Roman;Times;serif" w:hAnsi="Times New Roman;Times;serif"/>
          <w:sz w:val="20"/>
        </w:rPr>
        <w:t>first</w:t>
      </w:r>
      <w:r>
        <w:rPr>
          <w:rFonts w:ascii="Times New Roman;Times;serif" w:hAnsi="Times New Roman;Times;serif"/>
          <w:sz w:val="20"/>
        </w:rPr>
        <w:t xml:space="preserve">-year bonus depreciation, and a more favorable tax rate on Foreign-derived Deduction Eligible Income and income from non-U.S. subsidiaries (Net CFC Tested Income), among other provisions. The Company has performed an initial evaluation of the impact of the OBBB on the Company's effective tax rate and deferred tax assets in </w:t>
      </w:r>
      <w:r>
        <w:rPr>
          <w:rStyle w:val="Emphasis"/>
          <w:rFonts w:ascii="Times New Roman;Times;serif" w:hAnsi="Times New Roman;Times;serif"/>
          <w:sz w:val="20"/>
        </w:rPr>
        <w:t>2025</w:t>
      </w:r>
      <w:r>
        <w:rPr>
          <w:rFonts w:ascii="Times New Roman;Times;serif" w:hAnsi="Times New Roman;Times;serif"/>
          <w:sz w:val="20"/>
        </w:rPr>
        <w:t xml:space="preserve"> and future periods. Based on this initial evaluation, the Company believes the tax reform provisions will </w:t>
      </w:r>
      <w:r>
        <w:rPr>
          <w:rStyle w:val="Emphasis"/>
          <w:rFonts w:ascii="Times New Roman;Times;serif" w:hAnsi="Times New Roman;Times;serif"/>
          <w:sz w:val="20"/>
        </w:rPr>
        <w:t>not</w:t>
      </w:r>
      <w:r>
        <w:rPr>
          <w:rFonts w:ascii="Times New Roman;Times;serif" w:hAnsi="Times New Roman;Times;serif"/>
          <w:sz w:val="20"/>
        </w:rPr>
        <w:t xml:space="preserve"> have a material impact on the Company’s consolidated financial statements and related disclosures.  We will continue to assess the implications of the OBBB, and our tax provision </w:t>
      </w:r>
      <w:r>
        <w:rPr>
          <w:rStyle w:val="Emphasis"/>
          <w:rFonts w:ascii="Times New Roman;Times;serif" w:hAnsi="Times New Roman;Times;serif"/>
          <w:sz w:val="20"/>
        </w:rPr>
        <w:t xml:space="preserve">may </w:t>
      </w:r>
      <w:r>
        <w:rPr>
          <w:rFonts w:ascii="Times New Roman;Times;serif" w:hAnsi="Times New Roman;Times;serif"/>
          <w:sz w:val="20"/>
        </w:rPr>
        <w:t>be further impacted as additional guidance from the U.S. Department of the Treasury is released.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September 30,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a quarterly basis, the Company reassesses the valuation allowance on deferred income tax assets, weighing positive and negative evidence to assess the recoverability of the deferred tax assets. As of </w:t>
      </w:r>
      <w:r>
        <w:rPr>
          <w:rStyle w:val="Emphasis"/>
          <w:rFonts w:ascii="Times New Roman;Times;serif" w:hAnsi="Times New Roman;Times;serif"/>
          <w:sz w:val="20"/>
          <w:shd w:fill="FFFFFF" w:val="clear"/>
        </w:rPr>
        <w:t>September 30, 2025</w:t>
      </w:r>
      <w:r>
        <w:rPr>
          <w:rFonts w:ascii="Times New Roman;Times;serif" w:hAnsi="Times New Roman;Times;serif"/>
          <w:sz w:val="20"/>
        </w:rPr>
        <w:t xml:space="preserve">, the Company continues to maintain a valuation allowance to reduce the U.S. federal and state deferred tax assets to the amount that will more likely than </w:t>
      </w:r>
      <w:r>
        <w:rPr>
          <w:rStyle w:val="Emphasis"/>
          <w:rFonts w:ascii="Times New Roman;Times;serif" w:hAnsi="Times New Roman;Times;serif"/>
          <w:sz w:val="20"/>
        </w:rPr>
        <w:t>not</w:t>
      </w:r>
      <w:r>
        <w:rPr>
          <w:rFonts w:ascii="Times New Roman;Times;serif" w:hAnsi="Times New Roman;Times;serif"/>
          <w:sz w:val="20"/>
        </w:rPr>
        <w:t xml:space="preserve"> be realized. Given the Company’s positive trend in earnings, the Company will assess during fiscal year </w:t>
      </w:r>
      <w:r>
        <w:rPr>
          <w:rStyle w:val="Emphasis"/>
          <w:rFonts w:ascii="Times New Roman;Times;serif" w:hAnsi="Times New Roman;Times;serif"/>
          <w:sz w:val="20"/>
        </w:rPr>
        <w:t>2025</w:t>
      </w:r>
      <w:r>
        <w:rPr>
          <w:rFonts w:ascii="Times New Roman;Times;serif" w:hAnsi="Times New Roman;Times;serif"/>
          <w:sz w:val="20"/>
        </w:rPr>
        <w:t xml:space="preserve"> whether sufficient positive evidence will exist to allow the Company to reach a conclusion that some or all of the U.S. valuation allowance will </w:t>
      </w:r>
      <w:r>
        <w:rPr>
          <w:rStyle w:val="Emphasis"/>
          <w:rFonts w:ascii="Times New Roman;Times;serif" w:hAnsi="Times New Roman;Times;serif"/>
          <w:sz w:val="20"/>
        </w:rPr>
        <w:t>no</w:t>
      </w:r>
      <w:r>
        <w:rPr>
          <w:rFonts w:ascii="Times New Roman;Times;serif" w:hAnsi="Times New Roman;Times;serif"/>
          <w:sz w:val="20"/>
        </w:rPr>
        <w:t xml:space="preserve"> longer be needed. A release of the valuation allowance would result in the recognition of deferred tax assets and a corresponding decrease to income tax expense in the period the release is recorded, the effect of which would be an increase in reported net income. </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NEPSI 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During the year ended </w:t>
      </w:r>
      <w:r>
        <w:rPr>
          <w:rStyle w:val="Emphasis"/>
          <w:rFonts w:ascii="Times New Roman;Times;serif" w:hAnsi="Times New Roman;Times;serif"/>
          <w:sz w:val="20"/>
        </w:rPr>
        <w:t xml:space="preserve">March 31, 2024, </w:t>
      </w:r>
      <w:r>
        <w:rPr>
          <w:rFonts w:ascii="Times New Roman;Times;serif" w:hAnsi="Times New Roman;Times;serif"/>
          <w:sz w:val="20"/>
        </w:rPr>
        <w:t>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Company common stock, was </w:t>
      </w:r>
      <w:r>
        <w:rPr>
          <w:rStyle w:val="Emphasis"/>
          <w:rFonts w:ascii="Times New Roman;Times;serif" w:hAnsi="Times New Roman;Times;serif"/>
          <w:sz w:val="20"/>
        </w:rPr>
        <w:t>not</w:t>
      </w:r>
      <w:r>
        <w:rPr>
          <w:rFonts w:ascii="Times New Roman;Times;serif" w:hAnsi="Times New Roman;Times;serif"/>
          <w:sz w:val="20"/>
        </w:rPr>
        <w:t> achieved. NEPSI recognized revenues in excess of $120.0 million during the </w:t>
      </w:r>
      <w:r>
        <w:rPr>
          <w:rStyle w:val="Emphasis"/>
          <w:rFonts w:ascii="Times New Roman;Times;serif" w:hAnsi="Times New Roman;Times;serif"/>
          <w:sz w:val="20"/>
        </w:rPr>
        <w:t>four</w:t>
      </w:r>
      <w:r>
        <w:rPr>
          <w:rFonts w:ascii="Times New Roman;Times;serif" w:hAnsi="Times New Roman;Times;serif"/>
          <w:sz w:val="20"/>
        </w:rPr>
        <w:t xml:space="preserve"> years after the NEPSI Acquisition Date. As a result, during the quarter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the Company issued 300,000 shares of common stock of the Company to the selling stockholders, following certification of the achievement of the specified earnout revenue objective. As of </w:t>
      </w:r>
      <w:r>
        <w:rPr>
          <w:rStyle w:val="Emphasis"/>
          <w:rFonts w:ascii="Times New Roman;Times;serif" w:hAnsi="Times New Roman;Times;serif"/>
          <w:sz w:val="20"/>
        </w:rPr>
        <w:t xml:space="preserve">September 30, 2024, </w:t>
      </w:r>
      <w:r>
        <w:rPr>
          <w:rFonts w:ascii="Times New Roman;Times;serif" w:hAnsi="Times New Roman;Times;serif"/>
          <w:sz w:val="20"/>
        </w:rPr>
        <w:t>the Company had settled all outstanding contingent consideration under the NEPSI Stock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the periods in which the Company had outstanding contingent consideration, the fair value of the contingent consideration was remeasured and the resulting gain or loss was recognized in operating expenses until the share amount was fixed.</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NWL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On </w:t>
      </w:r>
      <w:r>
        <w:rPr>
          <w:rStyle w:val="Emphasis"/>
          <w:rFonts w:ascii="Times New Roman;Times;serif" w:hAnsi="Times New Roman;Times;serif"/>
          <w:sz w:val="20"/>
        </w:rPr>
        <w:t xml:space="preserve"> August 1,</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i/>
          <w:sz w:val="20"/>
        </w:rPr>
        <w:t>,</w:t>
      </w:r>
      <w:r>
        <w:rPr>
          <w:rFonts w:ascii="Times New Roman;Times;serif" w:hAnsi="Times New Roman;Times;serif"/>
          <w:sz w:val="20"/>
        </w:rPr>
        <w:t xml:space="preserve"> the Company entered into the Stock Purchase Agreement with the selling stockholders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NWL Acquisition. On </w:t>
      </w:r>
      <w:r>
        <w:rPr>
          <w:rStyle w:val="Emphasis"/>
          <w:rFonts w:ascii="Times New Roman;Times;serif" w:hAnsi="Times New Roman;Times;serif"/>
          <w:sz w:val="20"/>
        </w:rPr>
        <w:t xml:space="preserve">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As of </w:t>
      </w:r>
      <w:r>
        <w:rPr>
          <w:rStyle w:val="Emphasis"/>
          <w:rFonts w:ascii="Times New Roman;Times;serif" w:hAnsi="Times New Roman;Times;serif"/>
          <w:sz w:val="20"/>
        </w:rPr>
        <w:t xml:space="preserve">September 30, 2024, </w:t>
      </w:r>
      <w:r>
        <w:rPr>
          <w:rFonts w:ascii="Times New Roman;Times;serif" w:hAnsi="Times New Roman;Times;serif"/>
          <w:sz w:val="20"/>
        </w:rPr>
        <w:t>there were no remaining obligations to the selling stockholders of Megatran.</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3938" w:type="dxa"/>
        <w:jc w:val="left"/>
        <w:tblInd w:w="0" w:type="dxa"/>
        <w:tblLayout w:type="fixed"/>
        <w:tblCellMar>
          <w:top w:w="0" w:type="dxa"/>
          <w:left w:w="0" w:type="dxa"/>
          <w:bottom w:w="0" w:type="dxa"/>
          <w:right w:w="0" w:type="dxa"/>
        </w:tblCellMar>
      </w:tblPr>
      <w:tblGrid>
        <w:gridCol w:w="1850"/>
        <w:gridCol w:w="60"/>
        <w:gridCol w:w="148"/>
        <w:gridCol w:w="576"/>
        <w:gridCol w:w="185"/>
        <w:gridCol w:w="60"/>
        <w:gridCol w:w="179"/>
        <w:gridCol w:w="695"/>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2024</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900"/>
        <w:jc w:val="both"/>
        <w:rPr/>
      </w:pPr>
      <w:r>
        <w:rPr>
          <w:rFonts w:ascii="Times New Roman" w:hAnsi="Times New Roman"/>
          <w:caps w:val="false"/>
          <w:smallCaps w:val="false"/>
          <w:sz w:val="20"/>
        </w:rPr>
        <w:t>The Company did not record any activity related to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as the liability was settled in the prior fiscal year. The Company recorded a gain resulting from the decrease in fair value of $0.5 million and a loss of $3.4 million resulting from the increases in the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sheets.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713" w:type="dxa"/>
        <w:jc w:val="left"/>
        <w:tblInd w:w="0" w:type="dxa"/>
        <w:tblLayout w:type="fixed"/>
        <w:tblCellMar>
          <w:top w:w="0" w:type="dxa"/>
          <w:left w:w="0" w:type="dxa"/>
          <w:bottom w:w="0" w:type="dxa"/>
          <w:right w:w="0" w:type="dxa"/>
        </w:tblCellMar>
      </w:tblPr>
      <w:tblGrid>
        <w:gridCol w:w="3230"/>
        <w:gridCol w:w="60"/>
        <w:gridCol w:w="338"/>
        <w:gridCol w:w="1316"/>
        <w:gridCol w:w="185"/>
        <w:gridCol w:w="60"/>
        <w:gridCol w:w="274"/>
        <w:gridCol w:w="1065"/>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3,789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3,829</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3,829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ST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sz w:val="20"/>
              </w:rPr>
            </w:pPr>
            <w:r>
              <w:rPr>
                <w:sz w:val="20"/>
              </w:rPr>
              <w:t>$</w:t>
            </w:r>
          </w:p>
        </w:tc>
        <w:tc>
          <w:tcPr>
            <w:tcW w:w="1316" w:type="dxa"/>
            <w:tcBorders/>
            <w:shd w:fill="CCEEFF" w:val="clear"/>
            <w:vAlign w:val="center"/>
          </w:tcPr>
          <w:p>
            <w:pPr>
              <w:pStyle w:val="TableContents"/>
              <w:bidi w:val="0"/>
              <w:spacing w:before="0" w:after="283"/>
              <w:ind w:left="0" w:right="0" w:hanging="0"/>
              <w:jc w:val="right"/>
              <w:rPr>
                <w:sz w:val="20"/>
              </w:rPr>
            </w:pPr>
            <w:r>
              <w:rPr>
                <w:sz w:val="20"/>
              </w:rPr>
              <w:t>968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sz w:val="20"/>
              </w:rPr>
            </w:pPr>
            <w:r>
              <w:rPr>
                <w:sz w:val="20"/>
              </w:rPr>
              <w:t>$</w:t>
            </w:r>
          </w:p>
        </w:tc>
        <w:tc>
          <w:tcPr>
            <w:tcW w:w="1065" w:type="dxa"/>
            <w:tcBorders/>
            <w:shd w:fill="CCEEFF" w:val="clear"/>
            <w:vAlign w:val="center"/>
          </w:tcPr>
          <w:p>
            <w:pPr>
              <w:pStyle w:val="TableContents"/>
              <w:bidi w:val="0"/>
              <w:spacing w:before="0" w:after="283"/>
              <w:ind w:left="0" w:right="0" w:hanging="0"/>
              <w:jc w:val="right"/>
              <w:rPr>
                <w:sz w:val="20"/>
              </w:rPr>
            </w:pPr>
            <w:r>
              <w:rPr>
                <w:sz w:val="20"/>
              </w:rPr>
              <w:t>685</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LT Operating</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2,684</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3,369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sz w:val="20"/>
              </w:rPr>
            </w:pPr>
            <w:r>
              <w:rPr>
                <w:sz w:val="20"/>
              </w:rPr>
              <w:t>4.60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sz w:val="20"/>
              </w:rPr>
            </w:pPr>
            <w:r>
              <w:rPr>
                <w:sz w:val="20"/>
              </w:rPr>
              <w:t>4.94</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sz w:val="20"/>
              </w:rPr>
            </w:pPr>
            <w:r>
              <w:rPr>
                <w:sz w:val="20"/>
              </w:rPr>
              <w:t>14.58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sz w:val="20"/>
              </w:rPr>
            </w:pPr>
            <w:r>
              <w:rPr>
                <w:sz w:val="20"/>
              </w:rPr>
              <w:t>14.94</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6238"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338"/>
        <w:gridCol w:w="1316"/>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fixed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costs</w:t>
            </w:r>
          </w:p>
        </w:tc>
        <w:tc>
          <w:tcPr>
            <w:tcW w:w="60" w:type="dxa"/>
            <w:tcBorders/>
            <w:shd w:fill="FFFFFF" w:val="cle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38"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447"/>
        <w:gridCol w:w="1207"/>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ind w:left="0" w:right="0" w:hanging="0"/>
              <w:jc w:val="left"/>
              <w:rPr/>
            </w:pPr>
            <w:r>
              <w:rPr/>
              <w:t> </w:t>
            </w:r>
          </w:p>
        </w:tc>
        <w:tc>
          <w:tcPr>
            <w:tcW w:w="12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CCEEFF" w:val="clear"/>
            <w:vAlign w:val="center"/>
          </w:tcPr>
          <w:p>
            <w:pPr>
              <w:pStyle w:val="TableContents"/>
              <w:bidi w:val="0"/>
              <w:spacing w:before="0" w:after="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2025</w:t>
      </w:r>
      <w:r>
        <w:rPr>
          <w:rFonts w:ascii="Times New Roman;Times;serif" w:hAnsi="Times New Roman;Times;serif"/>
          <w:sz w:val="20"/>
        </w:rPr>
        <w:t xml:space="preserve">, the Company had $3.0 million of restricted cash included in long-term assets and $2.9 million of restricted cash included in current assets. As of </w:t>
      </w:r>
      <w:r>
        <w:rPr>
          <w:rStyle w:val="Emphasis"/>
          <w:rFonts w:ascii="Times New Roman;Times;serif" w:hAnsi="Times New Roman;Times;serif"/>
          <w:sz w:val="20"/>
        </w:rPr>
        <w:t>March 31, 2025</w:t>
      </w:r>
      <w:r>
        <w:rPr>
          <w:rFonts w:ascii="Times New Roman;Times;serif" w:hAnsi="Times New Roman;Times;serif"/>
          <w:sz w:val="20"/>
        </w:rPr>
        <w:t>, the Company had $4.3 million of restricted cash included in long term assets and $1.6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has identified two operating segments.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w:t>
      </w:r>
      <w:r>
        <w:rPr>
          <w:rStyle w:val="Emphasis"/>
          <w:rFonts w:ascii="Times New Roman;Times;serif" w:hAnsi="Times New Roman;Times;serif"/>
          <w:sz w:val="20"/>
        </w:rPr>
        <w:t>one</w:t>
      </w:r>
      <w:r>
        <w:rPr>
          <w:rFonts w:ascii="Times New Roman;Times;serif" w:hAnsi="Times New Roman;Times;serif"/>
          <w:sz w:val="20"/>
        </w:rPr>
        <w:t xml:space="preserve"> another and in the compensation of certain employees.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tables (i) summarize total sales by segment and (ii) reconcile each segment's sales to their respective segment operating income, including segment operating expenses,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2088"/>
        <w:gridCol w:w="60"/>
        <w:gridCol w:w="145"/>
        <w:gridCol w:w="685"/>
        <w:gridCol w:w="69"/>
        <w:gridCol w:w="69"/>
        <w:gridCol w:w="145"/>
        <w:gridCol w:w="685"/>
        <w:gridCol w:w="69"/>
        <w:gridCol w:w="69"/>
        <w:gridCol w:w="634"/>
        <w:gridCol w:w="406"/>
        <w:gridCol w:w="69"/>
        <w:gridCol w:w="69"/>
        <w:gridCol w:w="145"/>
        <w:gridCol w:w="685"/>
        <w:gridCol w:w="60"/>
        <w:gridCol w:w="60"/>
        <w:gridCol w:w="132"/>
        <w:gridCol w:w="739"/>
        <w:gridCol w:w="63"/>
        <w:gridCol w:w="63"/>
        <w:gridCol w:w="132"/>
        <w:gridCol w:w="628"/>
        <w:gridCol w:w="63"/>
        <w:gridCol w:w="63"/>
        <w:gridCol w:w="634"/>
        <w:gridCol w:w="406"/>
        <w:gridCol w:w="63"/>
        <w:gridCol w:w="63"/>
        <w:gridCol w:w="132"/>
        <w:gridCol w:w="739"/>
        <w:gridCol w:w="73"/>
      </w:tblGrid>
      <w:tr>
        <w:trPr/>
        <w:tc>
          <w:tcPr>
            <w:tcW w:w="20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 2025</w:t>
            </w:r>
          </w:p>
        </w:tc>
        <w:tc>
          <w:tcPr>
            <w:tcW w:w="73" w:type="dxa"/>
            <w:tcBorders/>
            <w:shd w:fill="FFFFFF" w:val="clear"/>
            <w:vAlign w:val="center"/>
          </w:tcPr>
          <w:p>
            <w:pPr>
              <w:pStyle w:val="TableContents"/>
              <w:bidi w:val="0"/>
              <w:spacing w:before="0" w:after="283"/>
              <w:jc w:val="left"/>
              <w:rPr/>
            </w:pPr>
            <w:r>
              <w:rPr/>
              <w:t> </w:t>
            </w:r>
          </w:p>
        </w:tc>
      </w:tr>
      <w:tr>
        <w:trPr/>
        <w:tc>
          <w:tcPr>
            <w:tcW w:w="20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73" w:type="dxa"/>
            <w:tcBorders/>
            <w:shd w:fill="FFFFFF" w:val="clear"/>
            <w:vAlign w:val="center"/>
          </w:tcPr>
          <w:p>
            <w:pPr>
              <w:pStyle w:val="TableContents"/>
              <w:bidi w:val="0"/>
              <w:spacing w:before="0" w:after="283"/>
              <w:jc w:val="left"/>
              <w:rPr/>
            </w:pPr>
            <w:r>
              <w:rPr/>
              <w:t> </w:t>
            </w:r>
          </w:p>
        </w:tc>
      </w:tr>
      <w:tr>
        <w:trPr/>
        <w:tc>
          <w:tcPr>
            <w:tcW w:w="20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r>
      <w:tr>
        <w:trPr/>
        <w:tc>
          <w:tcPr>
            <w:tcW w:w="20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p>
        </w:tc>
        <w:tc>
          <w:tcPr>
            <w:tcW w:w="73" w:type="dxa"/>
            <w:tcBorders/>
            <w:shd w:fill="FFFFFF" w:val="clear"/>
            <w:vAlign w:val="center"/>
          </w:tcPr>
          <w:p>
            <w:pPr>
              <w:pStyle w:val="TableContents"/>
              <w:bidi w:val="0"/>
              <w:spacing w:before="0" w:after="283"/>
              <w:jc w:val="left"/>
              <w:rPr/>
            </w:pPr>
            <w:r>
              <w:rPr/>
              <w:t> </w:t>
            </w:r>
          </w:p>
        </w:tc>
      </w:tr>
      <w:tr>
        <w:trPr/>
        <w:tc>
          <w:tcPr>
            <w:tcW w:w="20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r>
      <w:tr>
        <w:trPr/>
        <w:tc>
          <w:tcPr>
            <w:tcW w:w="20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r>
      <w:tr>
        <w:trPr/>
        <w:tc>
          <w:tcPr>
            <w:tcW w:w="20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108,994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129,610</w:t>
            </w:r>
          </w:p>
        </w:tc>
        <w:tc>
          <w:tcPr>
            <w:tcW w:w="73" w:type="dxa"/>
            <w:tcBorders/>
            <w:shd w:fill="CCEEFF" w:val="clear"/>
            <w:vAlign w:val="center"/>
          </w:tcPr>
          <w:p>
            <w:pPr>
              <w:pStyle w:val="TableContents"/>
              <w:bidi w:val="0"/>
              <w:spacing w:before="0" w:after="283"/>
              <w:ind w:left="0" w:right="0" w:hanging="0"/>
              <w:jc w:val="left"/>
              <w:rPr/>
            </w:pPr>
            <w:r>
              <w:rPr/>
              <w:t> </w:t>
            </w:r>
          </w:p>
        </w:tc>
      </w:tr>
      <w:tr>
        <w:trPr/>
        <w:tc>
          <w:tcPr>
            <w:tcW w:w="208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8,610</w:t>
            </w:r>
          </w:p>
        </w:tc>
        <w:tc>
          <w:tcPr>
            <w:tcW w:w="73"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and amortization of acquisition related intangibles.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4"/>
        <w:gridCol w:w="60"/>
        <w:gridCol w:w="136"/>
        <w:gridCol w:w="644"/>
        <w:gridCol w:w="64"/>
        <w:gridCol w:w="64"/>
        <w:gridCol w:w="136"/>
        <w:gridCol w:w="529"/>
        <w:gridCol w:w="64"/>
        <w:gridCol w:w="64"/>
        <w:gridCol w:w="194"/>
        <w:gridCol w:w="846"/>
        <w:gridCol w:w="87"/>
        <w:gridCol w:w="64"/>
        <w:gridCol w:w="136"/>
        <w:gridCol w:w="644"/>
        <w:gridCol w:w="80"/>
        <w:gridCol w:w="60"/>
        <w:gridCol w:w="125"/>
        <w:gridCol w:w="594"/>
        <w:gridCol w:w="60"/>
        <w:gridCol w:w="60"/>
        <w:gridCol w:w="125"/>
        <w:gridCol w:w="594"/>
        <w:gridCol w:w="60"/>
        <w:gridCol w:w="60"/>
        <w:gridCol w:w="194"/>
        <w:gridCol w:w="846"/>
        <w:gridCol w:w="80"/>
        <w:gridCol w:w="60"/>
        <w:gridCol w:w="125"/>
        <w:gridCol w:w="594"/>
        <w:gridCol w:w="92"/>
      </w:tblGrid>
      <w:tr>
        <w:trPr/>
        <w:tc>
          <w:tcPr>
            <w:tcW w:w="26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2024</w:t>
            </w:r>
          </w:p>
        </w:tc>
        <w:tc>
          <w:tcPr>
            <w:tcW w:w="92" w:type="dxa"/>
            <w:tcBorders/>
            <w:shd w:fill="FFFFFF" w:val="clear"/>
            <w:vAlign w:val="center"/>
          </w:tcPr>
          <w:p>
            <w:pPr>
              <w:pStyle w:val="TableContents"/>
              <w:bidi w:val="0"/>
              <w:spacing w:before="0" w:after="283"/>
              <w:jc w:val="left"/>
              <w:rPr/>
            </w:pPr>
            <w:r>
              <w:rPr/>
              <w:t> </w:t>
            </w:r>
          </w:p>
        </w:tc>
      </w:tr>
      <w:tr>
        <w:trPr/>
        <w:tc>
          <w:tcPr>
            <w:tcW w:w="26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92" w:type="dxa"/>
            <w:tcBorders/>
            <w:shd w:fill="FFFFFF" w:val="clear"/>
            <w:vAlign w:val="center"/>
          </w:tcPr>
          <w:p>
            <w:pPr>
              <w:pStyle w:val="TableContents"/>
              <w:bidi w:val="0"/>
              <w:spacing w:before="0" w:after="283"/>
              <w:jc w:val="left"/>
              <w:rPr/>
            </w:pPr>
            <w:r>
              <w:rPr/>
              <w:t> </w:t>
            </w:r>
          </w:p>
        </w:tc>
      </w:tr>
      <w:tr>
        <w:trPr/>
        <w:tc>
          <w:tcPr>
            <w:tcW w:w="266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26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94,761</w:t>
            </w:r>
          </w:p>
        </w:tc>
        <w:tc>
          <w:tcPr>
            <w:tcW w:w="92" w:type="dxa"/>
            <w:tcBorders/>
            <w:shd w:fill="FFFFFF" w:val="clear"/>
            <w:vAlign w:val="center"/>
          </w:tcPr>
          <w:p>
            <w:pPr>
              <w:pStyle w:val="TableContents"/>
              <w:bidi w:val="0"/>
              <w:spacing w:before="0" w:after="283"/>
              <w:jc w:val="left"/>
              <w:rPr/>
            </w:pPr>
            <w:r>
              <w:rPr/>
              <w:t> </w:t>
            </w:r>
          </w:p>
        </w:tc>
      </w:tr>
      <w:tr>
        <w:trPr/>
        <w:tc>
          <w:tcPr>
            <w:tcW w:w="26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26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26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98,804</w:t>
            </w:r>
          </w:p>
        </w:tc>
        <w:tc>
          <w:tcPr>
            <w:tcW w:w="92" w:type="dxa"/>
            <w:tcBorders/>
            <w:shd w:fill="CCEEFF" w:val="clear"/>
            <w:vAlign w:val="center"/>
          </w:tcPr>
          <w:p>
            <w:pPr>
              <w:pStyle w:val="TableContents"/>
              <w:bidi w:val="0"/>
              <w:spacing w:before="0" w:after="283"/>
              <w:jc w:val="left"/>
              <w:rPr/>
            </w:pPr>
            <w:r>
              <w:rPr/>
              <w:t> </w:t>
            </w:r>
          </w:p>
        </w:tc>
      </w:tr>
      <w:tr>
        <w:trPr/>
        <w:tc>
          <w:tcPr>
            <w:tcW w:w="26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gain/loss on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Unallocated corporate expenses included a </w:t>
      </w:r>
      <w:r>
        <w:rPr>
          <w:rFonts w:ascii="Times New Roman;Times;serif" w:hAnsi="Times New Roman;Times;serif"/>
          <w:sz w:val="20"/>
        </w:rPr>
        <w:t xml:space="preserve">net loss on contingent consideration $2.8 million and $6.7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reconciliation of segment operating income (loss) to consolidated income (loss) before income taxes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3845"/>
        <w:gridCol w:w="60"/>
        <w:gridCol w:w="287"/>
        <w:gridCol w:w="1118"/>
        <w:gridCol w:w="184"/>
        <w:gridCol w:w="137"/>
        <w:gridCol w:w="287"/>
        <w:gridCol w:w="909"/>
        <w:gridCol w:w="80"/>
        <w:gridCol w:w="60"/>
        <w:gridCol w:w="258"/>
        <w:gridCol w:w="1220"/>
        <w:gridCol w:w="165"/>
        <w:gridCol w:w="123"/>
        <w:gridCol w:w="258"/>
        <w:gridCol w:w="1127"/>
        <w:gridCol w:w="87"/>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 2025</w:t>
            </w:r>
          </w:p>
        </w:tc>
        <w:tc>
          <w:tcPr>
            <w:tcW w:w="87"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4"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2,965</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8,610</w:t>
            </w:r>
          </w:p>
        </w:tc>
        <w:tc>
          <w:tcPr>
            <w:tcW w:w="16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184"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w:t>
            </w:r>
          </w:p>
        </w:tc>
        <w:tc>
          <w:tcPr>
            <w:tcW w:w="87"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1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expense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184"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Depreciation and amortization expense by segment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6910" w:type="dxa"/>
        <w:jc w:val="left"/>
        <w:tblInd w:w="0" w:type="dxa"/>
        <w:tblLayout w:type="fixed"/>
        <w:tblCellMar>
          <w:top w:w="0" w:type="dxa"/>
          <w:left w:w="0" w:type="dxa"/>
          <w:bottom w:w="0" w:type="dxa"/>
          <w:right w:w="0" w:type="dxa"/>
        </w:tblCellMar>
      </w:tblPr>
      <w:tblGrid>
        <w:gridCol w:w="470"/>
        <w:gridCol w:w="60"/>
        <w:gridCol w:w="277"/>
        <w:gridCol w:w="1076"/>
        <w:gridCol w:w="133"/>
        <w:gridCol w:w="133"/>
        <w:gridCol w:w="277"/>
        <w:gridCol w:w="1076"/>
        <w:gridCol w:w="60"/>
        <w:gridCol w:w="60"/>
        <w:gridCol w:w="301"/>
        <w:gridCol w:w="1169"/>
        <w:gridCol w:w="144"/>
        <w:gridCol w:w="144"/>
        <w:gridCol w:w="301"/>
        <w:gridCol w:w="1169"/>
        <w:gridCol w:w="60"/>
      </w:tblGrid>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2025</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1,266</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44"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vAlign w:val="center"/>
          </w:tcPr>
          <w:p>
            <w:pPr>
              <w:pStyle w:val="TableContents"/>
              <w:bidi w:val="0"/>
              <w:spacing w:before="0" w:after="0"/>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income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September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573" w:type="dxa"/>
        <w:jc w:val="left"/>
        <w:tblInd w:w="0" w:type="dxa"/>
        <w:tblLayout w:type="fixed"/>
        <w:tblCellMar>
          <w:top w:w="0" w:type="dxa"/>
          <w:left w:w="0" w:type="dxa"/>
          <w:bottom w:w="0" w:type="dxa"/>
          <w:right w:w="0" w:type="dxa"/>
        </w:tblCellMar>
      </w:tblPr>
      <w:tblGrid>
        <w:gridCol w:w="1340"/>
        <w:gridCol w:w="60"/>
        <w:gridCol w:w="251"/>
        <w:gridCol w:w="1403"/>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211,520</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13,697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85,304</w:t>
            </w:r>
          </w:p>
        </w:tc>
        <w:tc>
          <w:tcPr>
            <w:tcW w:w="60" w:type="dxa"/>
            <w:tcBorders/>
            <w:shd w:fill="CCEEFF" w:val="clear"/>
            <w:vAlign w:val="center"/>
          </w:tcPr>
          <w:p>
            <w:pPr>
              <w:pStyle w:val="TableContents"/>
              <w:bidi w:val="0"/>
              <w:spacing w:before="0" w:after="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address investor requests for more disclosure of disaggregated financial reporting information about expenses presented in the income statement.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addressable markets, our competitive position, macroeconomic conditions and their anticipated effect on our business, the benefits of our acquisitions, financial results and financial condition, expectations for our products,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not been historically profitable, which may recur in the future. Our operating results may fluctuate significantly from quarter to quarter and may fall below expectations in any particular fiscal quarter; While we generated positive operating cash flow in fiscal 2024 and the prior year,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be required to issue performance bonds, which restricts our ability to access any cash used as collateral for the bonds; We may not realize all of the sales expected from our backlog of orders and contracts; If we fail to implement our business strategy successfully, our financial performance could be harmed; We rely upon third-party suppliers for the components and subassemblies of many of our Grid and Wind products, making us vulnerable to supply shortages and price fluctuations, which could harm our business;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business and operations may be materially adversely impacted in the event of a failure or security breach of our or any critical third parties' IT Systems or Confidential Information; Failure to comply with evolving data privacy and data protection laws and regulations or to otherwise protect personal data, may adversely impact our business and financial results;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Industry consolidation could result in more powerful competitors and fewer customers; Our success could depend upon the commercial adoption of the REG system, which is currently limited, and a widespread commercial market for our REG products may not develop; Increasing focus and scrutiny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2025,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NWL™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2025 refers to the fiscal year that began on April 1, 2025.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 arising from various reasons, such as the ongoing war between Russia and Ukraine, tariffs, trade restrictions and resulting trade conflicts, labor force availability, sourcing, material delays and global supply chain disruptions, could have a material adverse effect on our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Industries, Inc.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(together with Megatran,</w:t>
      </w:r>
      <w:r>
        <w:rPr>
          <w:rFonts w:ascii="Times New Roman" w:hAnsi="Times New Roman"/>
          <w:caps w:val="false"/>
          <w:smallCaps w:val="false"/>
          <w:sz w:val="20"/>
          <w:shd w:fill="FFFFFF" w:val="clear"/>
        </w:rPr>
        <w:t xml:space="preserve"> "NWL")</w:t>
      </w:r>
      <w:r>
        <w:rPr>
          <w:rFonts w:ascii="Times New Roman" w:hAnsi="Times New Roman"/>
          <w:caps w:val="false"/>
          <w:smallCaps w:val="false"/>
          <w:sz w:val="20"/>
        </w:rPr>
        <w:t>, is a U.S.-based global provider of engineered power conversion solutions for demanding industrial and military applications.  As a result of this transaction, Megatran became a wholly-owned subsidiary and is operated by our Grid business segment. We refer to this transaction as the "acquisition of NWL".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and six months ended </w:t>
      </w:r>
      <w:r>
        <w:rPr>
          <w:rFonts w:ascii="Times New Roman;Times;serif" w:hAnsi="Times New Roman;Times;serif"/>
          <w:b/>
          <w:i/>
          <w:sz w:val="20"/>
          <w:shd w:fill="FFFFFF" w:val="clear"/>
        </w:rPr>
        <w:t>September 30, 2025</w:t>
      </w:r>
      <w:r>
        <w:rPr>
          <w:rFonts w:ascii="Times New Roman;Times;serif" w:hAnsi="Times New Roman;Times;serif"/>
          <w:b/>
          <w:i/>
          <w:sz w:val="20"/>
        </w:rPr>
        <w:t>, compared to the three and six months ended September 30, 2024</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21% to $65.9 million for the three months ended September 30, 2025 and total revenues increased 46% to $138.2 million for the six months ended September 30, 2025 compared to $54.5 million and $94.8 for the three and six months ended September 30, 2024, respectively. Our revenues are summarized as follows (in thousands):</w:t>
      </w:r>
    </w:p>
    <w:p>
      <w:pPr>
        <w:pStyle w:val="TextBody"/>
        <w:bidi w:val="0"/>
        <w:spacing w:before="0" w:after="0"/>
        <w:ind w:left="0" w:right="0" w:firstLine="720"/>
        <w:jc w:val="both"/>
        <w:rPr/>
      </w:pPr>
      <w:r>
        <w:rPr/>
        <w:t> </w:t>
      </w:r>
    </w:p>
    <w:tbl>
      <w:tblPr>
        <w:tblW w:w="6940" w:type="dxa"/>
        <w:jc w:val="left"/>
        <w:tblInd w:w="0" w:type="dxa"/>
        <w:tblLayout w:type="fixed"/>
        <w:tblCellMar>
          <w:top w:w="0" w:type="dxa"/>
          <w:left w:w="0" w:type="dxa"/>
          <w:bottom w:w="0" w:type="dxa"/>
          <w:right w:w="0" w:type="dxa"/>
        </w:tblCellMar>
      </w:tblPr>
      <w:tblGrid>
        <w:gridCol w:w="875"/>
        <w:gridCol w:w="60"/>
        <w:gridCol w:w="244"/>
        <w:gridCol w:w="1155"/>
        <w:gridCol w:w="117"/>
        <w:gridCol w:w="117"/>
        <w:gridCol w:w="244"/>
        <w:gridCol w:w="1155"/>
        <w:gridCol w:w="60"/>
        <w:gridCol w:w="60"/>
        <w:gridCol w:w="211"/>
        <w:gridCol w:w="1173"/>
        <w:gridCol w:w="101"/>
        <w:gridCol w:w="101"/>
        <w:gridCol w:w="211"/>
        <w:gridCol w:w="996"/>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54,342</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114,429</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79,272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11,520</w:t>
            </w:r>
          </w:p>
        </w:tc>
        <w:tc>
          <w:tcPr>
            <w:tcW w:w="117"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23,791</w:t>
            </w:r>
          </w:p>
        </w:tc>
        <w:tc>
          <w:tcPr>
            <w:tcW w:w="101"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CCEEFF" w:val="clear"/>
            <w:vAlign w:val="center"/>
          </w:tcPr>
          <w:p>
            <w:pPr>
              <w:pStyle w:val="TableContents"/>
              <w:bidi w:val="0"/>
              <w:spacing w:before="0" w:after="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Grid business segment accounted for 83% of total revenues for both the three and six months ended September 30, 2025, compared </w:t>
      </w:r>
      <w:r>
        <w:rPr>
          <w:rFonts w:ascii="Times New Roman;Times;serif" w:hAnsi="Times New Roman;Times;serif"/>
          <w:sz w:val="20"/>
          <w:shd w:fill="FFFFFF" w:val="clear"/>
        </w:rPr>
        <w:t xml:space="preserve">to 86% and 84% for </w:t>
      </w:r>
      <w:r>
        <w:rPr>
          <w:rFonts w:ascii="Times New Roman;Times;serif" w:hAnsi="Times New Roman;Times;serif"/>
          <w:sz w:val="20"/>
        </w:rPr>
        <w:t>the three and six months ended September 30, 2024, respectively. Our Grid business segment revenues increased 16% to $54.3 million in the three months ended September 30, 2025, from $46.9 million in the three months ended September 30, 2024. Our Grid business segment revenues increased 44% to $114.4 million in the six months ended September 30, 2025, from $79.3 million in the six months ended September 30, 2024. The increase in the Grid business segment revenues in the three and six months ended September 30, 2025, compared to the three and six months ended September 30, 2024 was driven by the acquisition of NWL, increased shipments of new energy power systems, and additional ship protection systems revenues than in the prior year periods.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Wind business segment accounted for 17% of total revenues for both the three and six months ended September 30, 2025, compared </w:t>
      </w:r>
      <w:r>
        <w:rPr>
          <w:rFonts w:ascii="Times New Roman;Times;serif" w:hAnsi="Times New Roman;Times;serif"/>
          <w:sz w:val="20"/>
          <w:shd w:fill="FFFFFF" w:val="clear"/>
        </w:rPr>
        <w:t>to 14% and 16% for</w:t>
      </w:r>
      <w:r>
        <w:rPr>
          <w:rFonts w:ascii="Times New Roman;Times;serif" w:hAnsi="Times New Roman;Times;serif"/>
          <w:sz w:val="20"/>
        </w:rPr>
        <w:t> the three and six months ended September 30, 2024, respectively. Revenues in the Wind business segment increased 53% to $11.5 million in the three months ended September 30, 2025, from $7.5 million in the three months ended September 30, 2024. Revenues in the Wind business segment increased 54% to $23.8 million in the six months ended September 30, 2025, from $15.5 million in the six months ended September 30, 2024. The increase during the three and six months ended September 30, 2025, compared to the three and six months ended September 30, 2024, was driven by additional shipments of electrical control systems ("ECS").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17% to $45.4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$38.9 million for the three months ended </w:t>
      </w:r>
      <w:r>
        <w:rPr>
          <w:rFonts w:ascii="Times New Roman;Times;serif" w:hAnsi="Times New Roman;Times;serif"/>
          <w:sz w:val="20"/>
        </w:rPr>
        <w:t>September 30, 2024. Cost of revenues increased by 39% to $93.3 millio</w:t>
      </w:r>
      <w:r>
        <w:rPr>
          <w:rFonts w:ascii="Times New Roman;Times;serif" w:hAnsi="Times New Roman;Times;serif"/>
          <w:sz w:val="20"/>
          <w:shd w:fill="FFFFFF" w:val="clear"/>
        </w:rPr>
        <w:t xml:space="preserve">n for the </w:t>
      </w:r>
      <w:r>
        <w:rPr>
          <w:rFonts w:ascii="Times New Roman;Times;serif" w:hAnsi="Times New Roman;Times;serif"/>
          <w:sz w:val="20"/>
        </w:rPr>
        <w:t>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$66.9 million for the </w:t>
      </w:r>
      <w:r>
        <w:rPr>
          <w:rFonts w:ascii="Times New Roman;Times;serif" w:hAnsi="Times New Roman;Times;serif"/>
          <w:sz w:val="20"/>
        </w:rPr>
        <w:t>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w:t>
      </w:r>
      <w:r>
        <w:rPr>
          <w:rFonts w:ascii="Times New Roman;Times;serif" w:hAnsi="Times New Roman;Times;serif"/>
          <w:sz w:val="20"/>
          <w:shd w:fill="FFFFFF" w:val="clear"/>
        </w:rPr>
        <w:t>Gross margin was </w:t>
      </w:r>
      <w:r>
        <w:rPr>
          <w:rFonts w:ascii="Times New Roman;Times;serif" w:hAnsi="Times New Roman;Times;serif"/>
          <w:sz w:val="20"/>
        </w:rPr>
        <w:t>31%</w:t>
      </w:r>
      <w:r>
        <w:rPr>
          <w:rFonts w:ascii="Times New Roman;Times;serif" w:hAnsi="Times New Roman;Times;serif"/>
          <w:sz w:val="20"/>
          <w:shd w:fill="FFFFFF" w:val="clear"/>
        </w:rPr>
        <w:t> and 33%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 respectively,</w:t>
      </w:r>
      <w:r>
        <w:rPr>
          <w:rFonts w:ascii="Times New Roman;Times;serif" w:hAnsi="Times New Roman;Times;serif"/>
          <w:sz w:val="20"/>
          <w:shd w:fill="FFFFFF" w:val="clear"/>
        </w:rPr>
        <w:t> compared to 29% for both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w:t>
      </w:r>
      <w:r>
        <w:rPr>
          <w:rFonts w:ascii="Times New Roman;Times;serif" w:hAnsi="Times New Roman;Times;serif"/>
          <w:sz w:val="20"/>
        </w:rPr>
        <w:t>The increase in gross margin in the three and six months ended September 30, 2025 was due to higher revenues, a favorable product mix and favorable impacts across the business due to pricing increases across our product lines.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increased 41% in the three months ended</w:t>
      </w:r>
      <w:r>
        <w:rPr>
          <w:rFonts w:ascii="Times New Roman" w:hAnsi="Times New Roman"/>
          <w:caps w:val="false"/>
          <w:smallCaps w:val="false"/>
          <w:sz w:val="20"/>
        </w:rPr>
        <w:t> September 30, 2025</w:t>
      </w:r>
      <w:r>
        <w:rPr>
          <w:rFonts w:ascii="Times New Roman" w:hAnsi="Times New Roman"/>
          <w:caps w:val="false"/>
          <w:smallCaps w:val="false"/>
          <w:sz w:val="20"/>
          <w:shd w:fill="FFFFFF" w:val="clear"/>
        </w:rPr>
        <w:t>, to $3.7 million from $2.6 million in the three months ended</w:t>
      </w:r>
      <w:r>
        <w:rPr>
          <w:rFonts w:ascii="Times New Roman" w:hAnsi="Times New Roman"/>
          <w:caps w:val="false"/>
          <w:smallCaps w:val="false"/>
          <w:sz w:val="20"/>
        </w:rPr>
        <w:t xml:space="preserve"> September 30, 2024. </w:t>
      </w:r>
      <w:r>
        <w:rPr>
          <w:rFonts w:ascii="Times New Roman" w:hAnsi="Times New Roman"/>
          <w:caps w:val="false"/>
          <w:smallCaps w:val="false"/>
          <w:sz w:val="20"/>
          <w:shd w:fill="FFFFFF" w:val="clear"/>
        </w:rPr>
        <w:t>R&amp;D expenses increased 63% in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w:t>
      </w:r>
      <w:r>
        <w:rPr>
          <w:rFonts w:ascii="Times New Roman" w:hAnsi="Times New Roman"/>
          <w:caps w:val="false"/>
          <w:smallCaps w:val="false"/>
          <w:sz w:val="20"/>
        </w:rPr>
        <w:t> September 30, 2025</w:t>
      </w:r>
      <w:r>
        <w:rPr>
          <w:rFonts w:ascii="Times New Roman" w:hAnsi="Times New Roman"/>
          <w:caps w:val="false"/>
          <w:smallCaps w:val="false"/>
          <w:sz w:val="20"/>
          <w:shd w:fill="FFFFFF" w:val="clear"/>
        </w:rPr>
        <w:t xml:space="preserve">, to $8.0 million from $4.9 million in the </w:t>
      </w:r>
      <w:r>
        <w:rPr>
          <w:rFonts w:ascii="Times New Roman" w:hAnsi="Times New Roman"/>
          <w:caps w:val="false"/>
          <w:smallCaps w:val="false"/>
          <w:sz w:val="20"/>
        </w:rPr>
        <w:t>six</w:t>
      </w:r>
      <w:r>
        <w:rPr>
          <w:rFonts w:ascii="Times New Roman" w:hAnsi="Times New Roman"/>
          <w:caps w:val="false"/>
          <w:smallCaps w:val="false"/>
          <w:sz w:val="20"/>
          <w:shd w:fill="FFFFFF" w:val="clear"/>
        </w:rPr>
        <w:t> months ended</w:t>
      </w:r>
      <w:r>
        <w:rPr>
          <w:rFonts w:ascii="Times New Roman" w:hAnsi="Times New Roman"/>
          <w:caps w:val="false"/>
          <w:smallCaps w:val="false"/>
          <w:sz w:val="20"/>
        </w:rPr>
        <w:t xml:space="preserve"> September 30, 2024. </w:t>
      </w:r>
      <w:r>
        <w:rPr>
          <w:rFonts w:ascii="Times New Roman" w:hAnsi="Times New Roman"/>
          <w:caps w:val="false"/>
          <w:smallCaps w:val="false"/>
          <w:sz w:val="20"/>
          <w:shd w:fill="FFFFFF" w:val="clear"/>
        </w:rPr>
        <w:t xml:space="preserve">The increase </w:t>
      </w:r>
      <w:r>
        <w:rPr>
          <w:rFonts w:ascii="Times New Roman" w:hAnsi="Times New Roman"/>
          <w:caps w:val="false"/>
          <w:smallCaps w:val="false"/>
          <w:sz w:val="20"/>
        </w:rPr>
        <w:t>in the </w:t>
      </w:r>
      <w:r>
        <w:rPr>
          <w:rFonts w:ascii="Times New Roman" w:hAnsi="Times New Roman"/>
          <w:caps w:val="false"/>
          <w:smallCaps w:val="false"/>
          <w:sz w:val="20"/>
          <w:shd w:fill="FFFFFF" w:val="clear"/>
        </w:rPr>
        <w:t>three and six</w:t>
      </w:r>
      <w:r>
        <w:rPr>
          <w:rFonts w:ascii="Times New Roman" w:hAnsi="Times New Roman"/>
          <w:caps w:val="false"/>
          <w:smallCaps w:val="false"/>
          <w:sz w:val="20"/>
        </w:rPr>
        <w:t> months ended September 30, 2025</w:t>
      </w:r>
      <w:r>
        <w:rPr>
          <w:rFonts w:ascii="Times New Roman" w:hAnsi="Times New Roman"/>
          <w:caps w:val="false"/>
          <w:smallCaps w:val="false"/>
          <w:sz w:val="20"/>
          <w:shd w:fill="FFFFFF" w:val="clear"/>
        </w:rPr>
        <w:t> was driven </w:t>
      </w:r>
      <w:r>
        <w:rPr>
          <w:rFonts w:ascii="Times New Roman" w:hAnsi="Times New Roman"/>
          <w:caps w:val="false"/>
          <w:smallCaps w:val="false"/>
          <w:sz w:val="20"/>
        </w:rPr>
        <w:t>primarily by the addition of NWL R&amp;D expenses, higher overall compensation expense and additional stock-based compensation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27%</w:t>
      </w:r>
      <w:r>
        <w:rPr>
          <w:rFonts w:ascii="Times New Roman;Times;serif" w:hAnsi="Times New Roman;Times;serif"/>
          <w:sz w:val="20"/>
          <w:shd w:fill="FFFFFF" w:val="clear"/>
        </w:rPr>
        <w:t xml:space="preserve"> in the three months ended </w:t>
      </w:r>
      <w:r>
        <w:rPr>
          <w:rFonts w:ascii="Times New Roman;Times;serif" w:hAnsi="Times New Roman;Times;serif"/>
          <w:sz w:val="20"/>
        </w:rPr>
        <w:t>September 30, 2025, </w:t>
      </w:r>
      <w:r>
        <w:rPr>
          <w:rFonts w:ascii="Times New Roman;Times;serif" w:hAnsi="Times New Roman;Times;serif"/>
          <w:sz w:val="20"/>
          <w:shd w:fill="FFFFFF" w:val="clear"/>
        </w:rPr>
        <w:t>to $</w:t>
      </w:r>
      <w:r>
        <w:rPr>
          <w:rFonts w:ascii="Times New Roman;Times;serif" w:hAnsi="Times New Roman;Times;serif"/>
          <w:sz w:val="20"/>
        </w:rPr>
        <w:t>13.4</w:t>
      </w:r>
      <w:r>
        <w:rPr>
          <w:rFonts w:ascii="Times New Roman;Times;serif" w:hAnsi="Times New Roman;Times;serif"/>
          <w:sz w:val="20"/>
          <w:shd w:fill="FFFFFF" w:val="clear"/>
        </w:rPr>
        <w:t xml:space="preserve"> million from $10.5 million in the three ended </w:t>
      </w:r>
      <w:r>
        <w:rPr>
          <w:rFonts w:ascii="Times New Roman;Times;serif" w:hAnsi="Times New Roman;Times;serif"/>
          <w:sz w:val="20"/>
        </w:rPr>
        <w:t>September 30, 2024. </w:t>
      </w:r>
      <w:r>
        <w:rPr>
          <w:rFonts w:ascii="Times New Roman;Times;serif" w:hAnsi="Times New Roman;Times;serif"/>
          <w:sz w:val="20"/>
          <w:shd w:fill="FFFFFF" w:val="clear"/>
        </w:rPr>
        <w:t>SG&amp;A expenses increased 42% in the </w:t>
      </w:r>
      <w:r>
        <w:rPr>
          <w:rFonts w:ascii="Times New Roman;Times;serif" w:hAnsi="Times New Roman;Times;serif"/>
          <w:sz w:val="20"/>
        </w:rPr>
        <w:t>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 </w:t>
      </w:r>
      <w:r>
        <w:rPr>
          <w:rFonts w:ascii="Times New Roman;Times;serif" w:hAnsi="Times New Roman;Times;serif"/>
          <w:sz w:val="20"/>
          <w:shd w:fill="FFFFFF" w:val="clear"/>
        </w:rPr>
        <w:t>to $27.6 million from $19.4 million in the </w:t>
      </w:r>
      <w:r>
        <w:rPr>
          <w:rFonts w:ascii="Times New Roman;Times;serif" w:hAnsi="Times New Roman;Times;serif"/>
          <w:sz w:val="20"/>
        </w:rPr>
        <w:t>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The increase in SG&amp;A expense in the </w:t>
      </w:r>
      <w:r>
        <w:rPr>
          <w:rFonts w:ascii="Times New Roman;Times;serif" w:hAnsi="Times New Roman;Times;serif"/>
          <w:sz w:val="20"/>
          <w:shd w:fill="FFFFFF" w:val="clear"/>
        </w:rPr>
        <w:t>three and six</w:t>
      </w:r>
      <w:r>
        <w:rPr>
          <w:rFonts w:ascii="Times New Roman;Times;serif" w:hAnsi="Times New Roman;Times;serif"/>
          <w:sz w:val="20"/>
        </w:rPr>
        <w:t xml:space="preserve"> months ended September 30, 2025 was driven primarily by the addition of NWL SG&amp;A expenses, higher overall compensation expense and additional stock-based compensation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and customer relationships of $</w:t>
      </w:r>
      <w:r>
        <w:rPr>
          <w:rFonts w:ascii="Times New Roman;Times;serif" w:hAnsi="Times New Roman;Times;serif"/>
          <w:sz w:val="20"/>
        </w:rPr>
        <w:t>0.3</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and $0.4 million in the three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We recorded amortization expense related to our core technology and know-how and customer relationships of $0.7 million in the </w:t>
      </w:r>
      <w:r>
        <w:rPr>
          <w:rFonts w:ascii="Times New Roman;Times;serif" w:hAnsi="Times New Roman;Times;serif"/>
          <w:sz w:val="20"/>
        </w:rPr>
        <w:t>six</w:t>
      </w:r>
      <w:r>
        <w:rPr>
          <w:rFonts w:ascii="Times New Roman;Times;serif" w:hAnsi="Times New Roman;Times;serif"/>
          <w:sz w:val="20"/>
          <w:shd w:fill="FFFFFF" w:val="clear"/>
        </w:rPr>
        <w:t> months ended </w:t>
      </w:r>
      <w:r>
        <w:rPr>
          <w:rFonts w:ascii="Times New Roman;Times;serif" w:hAnsi="Times New Roman;Times;serif"/>
          <w:sz w:val="20"/>
        </w:rPr>
        <w:t>September 30, 2025,</w:t>
      </w:r>
      <w:r>
        <w:rPr>
          <w:rFonts w:ascii="Times New Roman;Times;serif" w:hAnsi="Times New Roman;Times;serif"/>
          <w:sz w:val="20"/>
          <w:shd w:fill="FFFFFF" w:val="clear"/>
        </w:rPr>
        <w:t> and $0.8 million in the </w:t>
      </w:r>
      <w:r>
        <w:rPr>
          <w:rFonts w:ascii="Times New Roman;Times;serif" w:hAnsi="Times New Roman;Times;serif"/>
          <w:sz w:val="20"/>
        </w:rPr>
        <w:t>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The decrease in amortization expense in the </w:t>
      </w:r>
      <w:r>
        <w:rPr>
          <w:rFonts w:ascii="Times New Roman;Times;serif" w:hAnsi="Times New Roman;Times;serif"/>
          <w:sz w:val="20"/>
          <w:shd w:fill="FFFFFF" w:val="clear"/>
        </w:rPr>
        <w:t>three and six</w:t>
      </w:r>
      <w:r>
        <w:rPr>
          <w:rFonts w:ascii="Times New Roman;Times;serif" w:hAnsi="Times New Roman;Times;serif"/>
          <w:sz w:val="20"/>
        </w:rPr>
        <w:t xml:space="preserve"> months ended September 30, 2025 is a result of using the economic consumption method as the basis to amortize the acquired customer relationship intangible assets from Northeast Power Systems, Inc. ("NEPSI") and Neeltran, Inc.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change in fair value of our contingent consideration for the earnout payment on the acquisition of NEPSI resulted in a gain of $0.5 million from a decrease in fair value and a loss of $3.4 million resulting from an increase in fair value in the three and six months ended September 30, 2024, respectively. During the three and six months ended September 30, 2024, we issued 300,000 shares of common stock of the Company to the selling stockholders following certification of the achievement of specified earnout revenue objectives. There was no activity in </w:t>
      </w:r>
      <w:r>
        <w:rPr>
          <w:rFonts w:ascii="Times New Roman" w:hAnsi="Times New Roman"/>
          <w:caps w:val="false"/>
          <w:smallCaps w:val="false"/>
          <w:sz w:val="20"/>
          <w:shd w:fill="FFFFFF" w:val="clear"/>
        </w:rPr>
        <w:t>the three and six months ended </w:t>
      </w:r>
      <w:r>
        <w:rPr>
          <w:rFonts w:ascii="Times New Roman" w:hAnsi="Times New Roman"/>
          <w:caps w:val="false"/>
          <w:smallCaps w:val="false"/>
          <w:sz w:val="20"/>
        </w:rPr>
        <w:t>September 30, 2025 as the contingent consideration was settled during the prior fiscal year.</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8704" w:type="dxa"/>
        <w:jc w:val="left"/>
        <w:tblInd w:w="0" w:type="dxa"/>
        <w:tblLayout w:type="fixed"/>
        <w:tblCellMar>
          <w:top w:w="0" w:type="dxa"/>
          <w:left w:w="0" w:type="dxa"/>
          <w:bottom w:w="0" w:type="dxa"/>
          <w:right w:w="0" w:type="dxa"/>
        </w:tblCellMar>
      </w:tblPr>
      <w:tblGrid>
        <w:gridCol w:w="2600"/>
        <w:gridCol w:w="60"/>
        <w:gridCol w:w="270"/>
        <w:gridCol w:w="1051"/>
        <w:gridCol w:w="130"/>
        <w:gridCol w:w="130"/>
        <w:gridCol w:w="270"/>
        <w:gridCol w:w="1181"/>
        <w:gridCol w:w="80"/>
        <w:gridCol w:w="60"/>
        <w:gridCol w:w="249"/>
        <w:gridCol w:w="968"/>
        <w:gridCol w:w="119"/>
        <w:gridCol w:w="119"/>
        <w:gridCol w:w="249"/>
        <w:gridCol w:w="1088"/>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4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3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3,175</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income of $</w:t>
      </w:r>
      <w:r>
        <w:rPr>
          <w:rFonts w:ascii="Times New Roman;Times;serif" w:hAnsi="Times New Roman;Times;serif"/>
          <w:sz w:val="20"/>
        </w:rPr>
        <w:t>1.3</w:t>
      </w:r>
      <w:r>
        <w:rPr>
          <w:rFonts w:ascii="Times New Roman;Times;serif" w:hAnsi="Times New Roman;Times;serif"/>
          <w:sz w:val="20"/>
          <w:shd w:fill="FFFFFF" w:val="clear"/>
        </w:rPr>
        <w:t xml:space="preserve"> million and $5.4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respectively, compared to an operating income of $1.6 million and $1.3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respectively. The decrease in the Grid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months ended September 30, 2025 was due to </w:t>
      </w:r>
      <w:r>
        <w:rPr>
          <w:rFonts w:ascii="Times New Roman;Times;serif" w:hAnsi="Times New Roman;Times;serif"/>
          <w:sz w:val="20"/>
        </w:rPr>
        <w:t>higher overall compensation expense and higher stock comp expense</w:t>
      </w:r>
      <w:r>
        <w:rPr>
          <w:rFonts w:ascii="Times New Roman;Times;serif" w:hAnsi="Times New Roman;Times;serif"/>
          <w:sz w:val="20"/>
          <w:shd w:fill="FFFFFF" w:val="clear"/>
        </w:rPr>
        <w:t xml:space="preserve">. The improvement in the Grid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six months ended September 30, 2025 was due to higher revenues and gross margins.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1.7</w:t>
      </w:r>
      <w:r>
        <w:rPr>
          <w:rFonts w:ascii="Times New Roman;Times;serif" w:hAnsi="Times New Roman;Times;serif"/>
          <w:sz w:val="20"/>
          <w:shd w:fill="FFFFFF" w:val="clear"/>
        </w:rPr>
        <w:t xml:space="preserve"> million and $3.2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respectively, compared to operating income of $0.4 million and $1.3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respectively. The increase in the Wind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and six months ended September 30, 2025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Unallocated corporate expenses included a </w:t>
      </w:r>
      <w:r>
        <w:rPr>
          <w:rFonts w:ascii="Times New Roman;Times;serif" w:hAnsi="Times New Roman;Times;serif"/>
          <w:sz w:val="20"/>
        </w:rPr>
        <w:t>net loss on contingent consideration of $2.8 million and $6.7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respectively.</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Interest income, net, was $2.3 million and $3.2 million in the three and six months ended September 30, 2025, respectively, compared to $1.0 million and $2.1 million in the three and six months ended September 30, 2024, respectively. The increase in interest income, net, in the three and six months ended September 30, 2025 was due to </w:t>
      </w:r>
      <w:r>
        <w:rPr>
          <w:rFonts w:ascii="Times New Roman;Times;serif" w:hAnsi="Times New Roman;Times;serif"/>
          <w:sz w:val="20"/>
        </w:rPr>
        <w:t>higher cash balances primarily generated from the public offering completed in June 2025</w:t>
      </w:r>
      <w:r>
        <w:rPr>
          <w:rFonts w:ascii="Times New Roman;Times;serif" w:hAnsi="Times New Roman;Times;serif"/>
          <w:sz w:val="20"/>
          <w:shd w:fill="FFFFFF" w:val="clea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$0.4 million and less than $0.1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respectively, compared to $0.3 million and $0.5 million in the three and six months ended September 30, 2024</w:t>
      </w:r>
      <w:r>
        <w:rPr>
          <w:rFonts w:ascii="Times New Roman;Times;serif" w:hAnsi="Times New Roman;Times;serif"/>
          <w:sz w:val="20"/>
        </w:rPr>
        <w:t>, respectively. The increase in other expense, net, during the three months ended </w:t>
      </w:r>
      <w:r>
        <w:rPr>
          <w:rFonts w:ascii="Times New Roman;Times;serif" w:hAnsi="Times New Roman;Times;serif"/>
          <w:sz w:val="20"/>
          <w:shd w:fill="FFFFFF" w:val="clear"/>
        </w:rPr>
        <w:t>September 30, 2025, compared to the three months ended September 30, 2024 was driven by unfavorable fluctuations in foreign currencies. The improvement in other expense, net, during the six months ended September 30, 2025, compared to the six months ended September 30, 2024, was driven by the impacts of favorable fluctuations in foreign currencies and gain on earnings from our NWL Pacific joint venture during the periods.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Income tax expense was $0.1 million and $0.3 million in the three and six months ended September 30, 2025, respectively, compared to income tax benefit of $5.0 million and $4.8 million in the three and six months ended September 30, 2024</w:t>
      </w:r>
      <w:r>
        <w:rPr>
          <w:rFonts w:ascii="Times New Roman" w:hAnsi="Times New Roman"/>
          <w:caps w:val="false"/>
          <w:smallCaps w:val="false"/>
          <w:sz w:val="20"/>
        </w:rPr>
        <w:t>, respectively. The increase in income tax expense was a result of the release of the valuation allowance due to the recording of the deferred tax liability from the acquisition of Megatran in the prior year.</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income was $</w:t>
      </w:r>
      <w:r>
        <w:rPr>
          <w:rFonts w:ascii="Times New Roman;Times;serif" w:hAnsi="Times New Roman;Times;serif"/>
          <w:sz w:val="20"/>
        </w:rPr>
        <w:t>4.8</w:t>
      </w:r>
      <w:r>
        <w:rPr>
          <w:rFonts w:ascii="Times New Roman;Times;serif" w:hAnsi="Times New Roman;Times;serif"/>
          <w:sz w:val="20"/>
          <w:shd w:fill="FFFFFF" w:val="clear"/>
        </w:rPr>
        <w:t xml:space="preserve"> million and $11.5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 respectively,</w:t>
      </w:r>
      <w:r>
        <w:rPr>
          <w:rFonts w:ascii="Times New Roman;Times;serif" w:hAnsi="Times New Roman;Times;serif"/>
          <w:sz w:val="20"/>
          <w:shd w:fill="FFFFFF" w:val="clear"/>
        </w:rPr>
        <w:t> compared to $4.9 million and $2.4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respectively.</w:t>
      </w:r>
      <w:r>
        <w:rPr>
          <w:rFonts w:ascii="Times New Roman;Times;serif" w:hAnsi="Times New Roman;Times;serif"/>
          <w:sz w:val="20"/>
          <w:shd w:fill="FFFFFF" w:val="clear"/>
        </w:rPr>
        <w:t> The decrease in net income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was driven primarily by </w:t>
      </w:r>
      <w:r>
        <w:rPr>
          <w:rFonts w:ascii="Times New Roman;Times;serif" w:hAnsi="Times New Roman;Times;serif"/>
          <w:sz w:val="20"/>
        </w:rPr>
        <w:t>the benefit of release of the valuation allowance due to the recording of the deferred tax liability from the acquisition of Megatran in the prior year</w:t>
      </w:r>
      <w:r>
        <w:rPr>
          <w:rFonts w:ascii="Times New Roman;Times;serif" w:hAnsi="Times New Roman;Times;serif"/>
          <w:sz w:val="20"/>
          <w:shd w:fill="FFFFFF" w:val="clear"/>
        </w:rPr>
        <w:t>. The improvement in net income for the six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was driven primarily by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as net income before stock-based compensation, acquisition costs,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w:t>
      </w:r>
      <w:r>
        <w:rPr>
          <w:rFonts w:ascii="Times New Roman;Times;serif" w:hAnsi="Times New Roman;Times;serif"/>
          <w:sz w:val="20"/>
        </w:rPr>
        <w:t> is set forth in the table below (in thousands, except per share data):</w:t>
      </w:r>
    </w:p>
    <w:p>
      <w:pPr>
        <w:pStyle w:val="TextBody"/>
        <w:bidi w:val="0"/>
        <w:spacing w:before="0" w:after="0"/>
        <w:ind w:left="0" w:right="0" w:firstLine="720"/>
        <w:jc w:val="both"/>
        <w:rPr/>
      </w:pPr>
      <w:r>
        <w:rPr/>
        <w:t> </w:t>
      </w:r>
    </w:p>
    <w:tbl>
      <w:tblPr>
        <w:tblW w:w="10029" w:type="dxa"/>
        <w:jc w:val="left"/>
        <w:tblInd w:w="0" w:type="dxa"/>
        <w:tblLayout w:type="fixed"/>
        <w:tblCellMar>
          <w:top w:w="0" w:type="dxa"/>
          <w:left w:w="0" w:type="dxa"/>
          <w:bottom w:w="0" w:type="dxa"/>
          <w:right w:w="0" w:type="dxa"/>
        </w:tblCellMar>
      </w:tblPr>
      <w:tblGrid>
        <w:gridCol w:w="3965"/>
        <w:gridCol w:w="60"/>
        <w:gridCol w:w="244"/>
        <w:gridCol w:w="1155"/>
        <w:gridCol w:w="117"/>
        <w:gridCol w:w="117"/>
        <w:gridCol w:w="244"/>
        <w:gridCol w:w="1155"/>
        <w:gridCol w:w="60"/>
        <w:gridCol w:w="60"/>
        <w:gridCol w:w="225"/>
        <w:gridCol w:w="1063"/>
        <w:gridCol w:w="108"/>
        <w:gridCol w:w="108"/>
        <w:gridCol w:w="225"/>
        <w:gridCol w:w="1063"/>
        <w:gridCol w:w="6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2,072</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6,682</w:t>
            </w:r>
          </w:p>
        </w:tc>
        <w:tc>
          <w:tcPr>
            <w:tcW w:w="60" w:type="dxa"/>
            <w:tcBorders/>
            <w:shd w:fill="CCEEFF" w:val="clear"/>
            <w:vAlign w:val="center"/>
          </w:tcPr>
          <w:p>
            <w:pPr>
              <w:pStyle w:val="TableContents"/>
              <w:bidi w:val="0"/>
              <w:spacing w:before="0" w:after="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20,440</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13,217</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basic</w:t>
            </w:r>
          </w:p>
        </w:tc>
        <w:tc>
          <w:tcPr>
            <w:tcW w:w="60"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17"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17"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60"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43,242</w:t>
            </w:r>
          </w:p>
        </w:tc>
        <w:tc>
          <w:tcPr>
            <w:tcW w:w="117"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41,070</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36,317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44,210</w:t>
            </w:r>
          </w:p>
        </w:tc>
        <w:tc>
          <w:tcPr>
            <w:tcW w:w="117"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41,988</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36,951</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generated non-GAAP net income of $8.9 million and $20.4 million, or $</w:t>
      </w:r>
      <w:r>
        <w:rPr>
          <w:rFonts w:ascii="Times New Roman;Times;serif" w:hAnsi="Times New Roman;Times;serif"/>
          <w:sz w:val="20"/>
        </w:rPr>
        <w:t>0.20</w:t>
      </w:r>
      <w:r>
        <w:rPr>
          <w:rFonts w:ascii="Times New Roman;Times;serif" w:hAnsi="Times New Roman;Times;serif"/>
          <w:sz w:val="20"/>
          <w:shd w:fill="FFFFFF" w:val="clear"/>
        </w:rPr>
        <w:t> and $0.50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respectively, compared to a non-GAAP net income of $10.0 million and $13.2 million, or $0.27 and $0.36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respectively. </w:t>
      </w:r>
      <w:r>
        <w:rPr>
          <w:rFonts w:ascii="Times New Roman;Times;serif" w:hAnsi="Times New Roman;Times;serif"/>
          <w:sz w:val="20"/>
        </w:rPr>
        <w:t>For the three months ended September 30, 2025, the decrease in non-GAAP net income was a result of the release of the valuation allowance due to the recording of the deferred tax liability from the acquisition of Megatran in the prior year, partially offset by higher revenues and gross margins. The improvement in the non-GAAP net income for the six months ended September 30, 2025, was due to higher revenues and gross margins</w:t>
      </w:r>
      <w:r>
        <w:rPr>
          <w:rFonts w:ascii="Times New Roman;Times;serif" w:hAnsi="Times New Roman;Times;serif"/>
          <w:sz w:val="20"/>
          <w:shd w:fill="FFFFFF" w:val="clear"/>
        </w:rPr>
        <w:t>.</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primary sources of liquidity are internally generated cash provided by operating activities, our cash and cash equivalents on hand, along with access to capital markets, including through our currently effective Registration Statements on Form S-3. We believe that these sources of liquidity are sufficient to meet both our short-term and reasonably foreseeable long-term requirements and obligations. As of September 30, 2025, we had cash and cash equivalents of $212.9 million.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may reduce our operating and capital spending to enhance liquidity.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t> </w:t>
      </w:r>
      <w:r>
        <w:rPr>
          <w:rFonts w:ascii="Times New Roman;Times;serif" w:hAnsi="Times New Roman;Times;serif"/>
          <w:sz w:val="20"/>
        </w:rPr>
        <w:t>On June 10, 2025, we completed an offering of 4,125,000 shares of our common stock at a public offering price of $28.00 per share under our Registration Statement on Form S-3. We received net proceeds of approximately $108.2 million after deducting underwriting discounts and commissions and offering expenses. The offering included an option to purchase an additional 618,750 shares over the initial offering of 4,125,000 shares at the public offering price, less underwriting discounts and commission. This option was fully exercised on June 16, 2025 resulting in an additional $16.3 million in net proceeds, after deducting underwriting discounts and commissions and offering expenses payable by the Company, for total net proceeds of approximately $124.6 million. The offering closed on June 16, 2025.</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September 30, 2025, we had cash, cash equivalents and restricted cash of $218.8 million, compared to $85.4 million as of March 31, 2025, an increase of $133.4 million. As of September 30, 2025, we had $3.4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7168" w:type="dxa"/>
        <w:jc w:val="left"/>
        <w:tblInd w:w="0" w:type="dxa"/>
        <w:tblLayout w:type="fixed"/>
        <w:tblCellMar>
          <w:top w:w="0" w:type="dxa"/>
          <w:left w:w="0" w:type="dxa"/>
          <w:bottom w:w="0" w:type="dxa"/>
          <w:right w:w="0" w:type="dxa"/>
        </w:tblCellMar>
      </w:tblPr>
      <w:tblGrid>
        <w:gridCol w:w="3890"/>
        <w:gridCol w:w="60"/>
        <w:gridCol w:w="256"/>
        <w:gridCol w:w="1428"/>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79,494</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5,887</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2025, net cash provided by operating activities was $10.6 million, compared to $16.1 million for the six months ended September 30, 2024. The decrease in cash flows provided by operating activities in the six months ended September 30, 2025 was due primarily to changes in deferred revenue, offset by change in accounts payable and accrued expenses, accounts receivable, deferred income taxes, and stock-based compensation expense.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2025, net cash used in investing activities was $2.1 million, compared to $33.5 million for the six months ended September 30, 2024. The decrease in net cash used in investing activities was primarily due to cash paid for the NWL acquisition and related contingent consideration in the prior year.</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2025, net cash provided by financing activities was $124.8 million compared to cash used in financing activities of $0.1 million for the six months ended September 30, 2024. The increase in net cash provided by financing activities was due to the equity raise in June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September 30, 2025, we had $3.0 million of restricted cash included in long-term assets and $2.9 million of restricted cash included in current assets. At March 31, 2025, we had $4.3 million of restricted cash included in long-term assets and $1.6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September 30, 2025, while others are considered future commitments. We have various contractual arrangements, under which we have committed to purchase certain minimum quantities of goods or services on an annual basis. For information regarding our other contractual obligations, refer to Note 14, "Contingent Consideration," Note 15, "Leases" and Note 16, "Commitments and Contingencies" to our condensed consolidated financial statements included elsewhere in this Quarterly Report on Form 10-Q. There have been no material changes to our contractual obligations from those disclosed in our Annual Report on Form 10-K for the fiscal year ended March 31, 2025.</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the next twelve months. We raised $124.6 million, net of offering expenses, through an equity raise in June 2025. In addition,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the ongoing war between Russia and Ukraine, tariffs, trade restrictions and resulting trade conflicts, instability of financial institutions and political instability in the United States, on the global financial markets may reduce our ability to raise additional capital, if necessary, which could negatively impact our liquidity.</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was annual reporting periods beginning after December 15, 2024. As of </w:t>
      </w:r>
      <w:r>
        <w:rPr>
          <w:rFonts w:ascii="Times New Roman;Times;serif" w:hAnsi="Times New Roman;Times;serif"/>
          <w:sz w:val="20"/>
          <w:shd w:fill="FFFFFF" w:val="clear"/>
        </w:rPr>
        <w:t>September 30, 2025</w:t>
      </w:r>
      <w:r>
        <w:rPr>
          <w:rFonts w:ascii="Times New Roman;Times;serif" w:hAnsi="Times New Roman;Times;serif"/>
          <w:sz w:val="20"/>
        </w:rPr>
        <w:t xml:space="preserve">, we are evaluating the impact on our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2024, the FASB issued ASU 2024-02,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2024-02 contain amendments to the Codification that remove references to various FASB Concepts Statements. Following the release of ASU 2024-02 in March 2024, the effective date was annual reporting periods beginning after December 15, 2024. As of </w:t>
      </w:r>
      <w:r>
        <w:rPr>
          <w:rFonts w:ascii="Times New Roman;Times;serif" w:hAnsi="Times New Roman;Times;serif"/>
          <w:sz w:val="20"/>
          <w:shd w:fill="FFFFFF" w:val="clear"/>
        </w:rPr>
        <w:t>September 30, 2025</w:t>
      </w:r>
      <w:r>
        <w:rPr>
          <w:rFonts w:ascii="Times New Roman;Times;serif" w:hAnsi="Times New Roman;Times;serif"/>
          <w:sz w:val="20"/>
        </w:rPr>
        <w:t>, we are evaluating the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As of </w:t>
      </w:r>
      <w:r>
        <w:rPr>
          <w:rFonts w:ascii="Times New Roman;Times;serif" w:hAnsi="Times New Roman;Times;serif"/>
          <w:sz w:val="20"/>
          <w:shd w:fill="FFFFFF" w:val="clear"/>
        </w:rPr>
        <w:t>September 30, 2025</w:t>
      </w:r>
      <w:r>
        <w:rPr>
          <w:rFonts w:ascii="Times New Roman;Times;serif" w:hAnsi="Times New Roman;Times;serif"/>
          <w:sz w:val="20"/>
        </w:rPr>
        <w:t>, we are evaluating the impact on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each of our foreign subsidiaries is the U.S. dollar, except for AMSC Austria, for which the local currency (Euro) is the functional currency. The assets and liabilities of AMSC Austria are translated into U.S. dollars at the exchange rate in effect at the balance sheet date and income and expense items are translated at average rates for the period. Cumulative translation adjustments are excluded from net income and shown as a separate component of stockholders’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were to fluctuate by 10% the net effect would be immaterial to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gains (losses) are included in net income and were a gain of $0.3 million for both the three and six months ended September 30, 2025, and loss of $0.3 million and $0.5 million for the three and six months ended September 30, 2024, respectively.</w:t>
      </w:r>
    </w:p>
    <w:p>
      <w:pPr>
        <w:pStyle w:val="TextBody"/>
        <w:bidi w:val="0"/>
        <w:spacing w:before="0" w:after="0"/>
        <w:ind w:left="0" w:right="0" w:firstLine="720"/>
        <w:jc w:val="both"/>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September 30, 2025</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September 30, 2025</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September 30, 2025</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2025, filed with the SEC on May 21, 2025.</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9426" w:type="dxa"/>
        <w:jc w:val="left"/>
        <w:tblInd w:w="0" w:type="dxa"/>
        <w:tblLayout w:type="fixed"/>
        <w:tblCellMar>
          <w:top w:w="0" w:type="dxa"/>
          <w:left w:w="0" w:type="dxa"/>
          <w:bottom w:w="28" w:type="dxa"/>
          <w:right w:w="0" w:type="dxa"/>
        </w:tblCellMar>
      </w:tblPr>
      <w:tblGrid>
        <w:gridCol w:w="3305"/>
        <w:gridCol w:w="60"/>
        <w:gridCol w:w="227"/>
        <w:gridCol w:w="992"/>
        <w:gridCol w:w="60"/>
        <w:gridCol w:w="60"/>
        <w:gridCol w:w="168"/>
        <w:gridCol w:w="736"/>
        <w:gridCol w:w="60"/>
        <w:gridCol w:w="60"/>
        <w:gridCol w:w="294"/>
        <w:gridCol w:w="1285"/>
        <w:gridCol w:w="60"/>
        <w:gridCol w:w="60"/>
        <w:gridCol w:w="969"/>
        <w:gridCol w:w="970"/>
        <w:gridCol w:w="60"/>
      </w:tblGrid>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2025 -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2025 - August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 2025 -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(c) On  </w:t>
      </w:r>
      <w:r>
        <w:rPr>
          <w:rStyle w:val="Emphasis"/>
          <w:rFonts w:ascii="Times New Roman" w:hAnsi="Times New Roman"/>
          <w:caps w:val="false"/>
          <w:smallCaps w:val="false"/>
          <w:sz w:val="20"/>
        </w:rPr>
        <w:t xml:space="preserve"> August 15, 2025, </w:t>
      </w:r>
      <w:r>
        <w:rPr>
          <w:rFonts w:ascii="Times New Roman" w:hAnsi="Times New Roman"/>
          <w:caps w:val="false"/>
          <w:smallCaps w:val="false"/>
          <w:sz w:val="20"/>
        </w:rPr>
        <w:t>Daniel P. McGahn, Chairman, President and Chief Executive Officer, adopted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that is intended to satisfy the affirmative defense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(c) for the sale of up to 111,205 shares of the Company’s common stock until the earlier of (i)  </w:t>
      </w:r>
      <w:r>
        <w:rPr>
          <w:rStyle w:val="Emphasis"/>
          <w:rFonts w:ascii="Times New Roman" w:hAnsi="Times New Roman"/>
          <w:caps w:val="false"/>
          <w:smallCaps w:val="false"/>
          <w:sz w:val="20"/>
        </w:rPr>
        <w:t xml:space="preserve"> August 14, 2026, </w:t>
      </w:r>
      <w:r>
        <w:rPr>
          <w:rFonts w:ascii="Times New Roman" w:hAnsi="Times New Roman"/>
          <w:caps w:val="false"/>
          <w:smallCaps w:val="false"/>
          <w:sz w:val="20"/>
        </w:rPr>
        <w:t>or (ii) the date in which all shares under the trading arrangement are sold.</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15, 2025, </w:t>
      </w:r>
      <w:r>
        <w:rPr>
          <w:rFonts w:ascii="Times New Roman" w:hAnsi="Times New Roman"/>
          <w:caps w:val="false"/>
          <w:smallCaps w:val="false"/>
          <w:sz w:val="20"/>
        </w:rPr>
        <w:t>John W. Kosiba, Jr., Senior Vice President, Chief Financial Officer and Treasurer, adopted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that is intended to satisfy the affirmative defense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(c) for the sale of up to 48,512 shares of the Company’s common stock until the earlier of (i)  </w:t>
      </w:r>
      <w:r>
        <w:rPr>
          <w:rStyle w:val="Emphasis"/>
          <w:rFonts w:ascii="Times New Roman" w:hAnsi="Times New Roman"/>
          <w:caps w:val="false"/>
          <w:smallCaps w:val="false"/>
          <w:sz w:val="20"/>
        </w:rPr>
        <w:t xml:space="preserve"> August 14, 2026, </w:t>
      </w:r>
      <w:r>
        <w:rPr>
          <w:rFonts w:ascii="Times New Roman" w:hAnsi="Times New Roman"/>
          <w:caps w:val="false"/>
          <w:smallCaps w:val="false"/>
          <w:sz w:val="20"/>
        </w:rPr>
        <w:t>or (ii) the date in which all shares under the trading arrangement are sold.</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6"/>
        <w:gridCol w:w="60"/>
        <w:gridCol w:w="5984"/>
        <w:gridCol w:w="60"/>
        <w:gridCol w:w="500"/>
        <w:gridCol w:w="60"/>
        <w:gridCol w:w="441"/>
        <w:gridCol w:w="60"/>
        <w:gridCol w:w="650"/>
        <w:gridCol w:w="60"/>
        <w:gridCol w:w="530"/>
        <w:gridCol w:w="60"/>
        <w:gridCol w:w="1014"/>
      </w:tblGrid>
      <w:tr>
        <w:trPr/>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5"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855467.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855468.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855469.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855470.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September 30, 2025</w:t>
      </w:r>
      <w:r>
        <w:rPr>
          <w:rFonts w:ascii="Times New Roman;Times;serif" w:hAnsi="Times New Roman;Times;serif"/>
          <w:sz w:val="20"/>
        </w:rPr>
        <w:t xml:space="preserve"> and March 31, 2025 (ii) Statements of Operations for the three and six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and 2024, (iii) Condensed Consolidated Statements of Comprehensive Income for the three and six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and 2024, (iv) Condensed Consolidated Statements of Cash Flows for the six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and 2024,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5"/>
        <w:gridCol w:w="1676"/>
        <w:gridCol w:w="320"/>
        <w:gridCol w:w="7764"/>
      </w:tblGrid>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808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left"/>
              <w:rPr/>
            </w:pPr>
            <w:r>
              <w:rPr/>
              <w:t> </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77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76" w:type="dxa"/>
            <w:tcBorders/>
            <w:vAlign w:val="center"/>
          </w:tcPr>
          <w:p>
            <w:pPr>
              <w:pStyle w:val="TableContents"/>
              <w:bidi w:val="0"/>
              <w:spacing w:before="0" w:after="283"/>
              <w:jc w:val="left"/>
              <w:rPr/>
            </w:pPr>
            <w:r>
              <w:rPr/>
              <w:t>November 5, 2025</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Times;serif" w:hAnsi="Times New Roman;Times;serif"/>
          <w:b/>
          <w:sz w:val="20"/>
        </w:rPr>
      </w:pPr>
      <w:bookmarkStart w:id="17" w:name="ex_855467.htm"/>
      <w:bookmarkStart w:id="18" w:name="ksex_855467"/>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bookmarkStart w:id="19" w:name="led11849F20246121720812513565"/>
            <w:bookmarkEnd w:id="19"/>
            <w:r>
              <w:rPr/>
              <w:t>November 5,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855468.htm"/>
      <w:bookmarkStart w:id="21" w:name="ksex_855468"/>
      <w:bookmarkEnd w:id="20"/>
      <w:bookmarkEnd w:id="21"/>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bookmarkStart w:id="22" w:name="led11849F20246121720812542421"/>
            <w:bookmarkEnd w:id="22"/>
            <w:r>
              <w:rPr/>
              <w:t>November 5,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3" w:name="ex_855469.htm"/>
      <w:bookmarkStart w:id="24" w:name="ksex_855469"/>
      <w:bookmarkEnd w:id="23"/>
      <w:bookmarkEnd w:id="24"/>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5" w:name="led11848F20218221632321164177"/>
      <w:bookmarkEnd w:id="25"/>
      <w:r>
        <w:rPr>
          <w:rFonts w:ascii="Times New Roman;Times;serif" w:hAnsi="Times New Roman;Times;serif"/>
          <w:sz w:val="20"/>
        </w:rPr>
        <w:t>September 30, 2025,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520" w:type="dxa"/>
        <w:jc w:val="left"/>
        <w:tblInd w:w="0" w:type="dxa"/>
        <w:tblLayout w:type="fixed"/>
        <w:tblCellMar>
          <w:top w:w="0" w:type="dxa"/>
          <w:left w:w="0" w:type="dxa"/>
          <w:bottom w:w="0" w:type="dxa"/>
          <w:right w:w="0" w:type="dxa"/>
        </w:tblCellMar>
      </w:tblPr>
      <w:tblGrid>
        <w:gridCol w:w="455"/>
        <w:gridCol w:w="1805"/>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vAlign w:val="center"/>
          </w:tcPr>
          <w:p>
            <w:pPr>
              <w:pStyle w:val="TableContents"/>
              <w:bidi w:val="0"/>
              <w:spacing w:before="0" w:after="283"/>
              <w:jc w:val="left"/>
              <w:rPr/>
            </w:pPr>
            <w:bookmarkStart w:id="26" w:name="led11849F20246121720812578499"/>
            <w:bookmarkEnd w:id="26"/>
            <w:r>
              <w:rPr/>
              <w:t>November 5, 2025</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7" w:name="ex_855470.htm"/>
      <w:bookmarkStart w:id="28" w:name="ksex_855470"/>
      <w:bookmarkEnd w:id="27"/>
      <w:bookmarkEnd w:id="28"/>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9" w:name="led11848F20217171629241168204"/>
      <w:bookmarkEnd w:id="29"/>
      <w:r>
        <w:rPr>
          <w:rFonts w:ascii="Times New Roman;Times;serif" w:hAnsi="Times New Roman;Times;serif"/>
          <w:sz w:val="20"/>
        </w:rPr>
        <w:t>September 30, 2025,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bookmarkStart w:id="30" w:name="led11849F20246121720812606251"/>
            <w:bookmarkEnd w:id="30"/>
            <w:r>
              <w:rPr/>
              <w:t>November 5,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19710</Words>
  <Characters>108443</Characters>
  <CharactersWithSpaces>130817</CharactersWithSpaces>
  <Paragraphs>7352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