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189865</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397" w:lineRule="auto"/>
        <w:tabs>
          <w:tab w:leader="none" w:pos="64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 xml:space="preserve"> to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w:t>
      </w:r>
    </w:p>
    <w:p>
      <w:pPr>
        <w:spacing w:after="0" w:line="1" w:lineRule="exact"/>
        <w:rPr>
          <w:rFonts w:ascii="MS PGothic" w:cs="MS PGothic" w:eastAsia="MS PGothic" w:hAnsi="MS PGothic"/>
          <w:sz w:val="17"/>
          <w:szCs w:val="17"/>
          <w:color w:val="auto"/>
        </w:rPr>
      </w:pPr>
    </w:p>
    <w:p>
      <w:pPr>
        <w:ind w:left="42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234315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American Superconductor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114 East Main St. Ayer, Massachusetts</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01432</w:t>
            </w:r>
          </w:p>
        </w:tc>
      </w:tr>
      <w:tr>
        <w:trPr>
          <w:trHeight w:val="190"/>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220" w:type="dxa"/>
            <w:vAlign w:val="bottom"/>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(978) 842-3000</w:t>
            </w:r>
          </w:p>
        </w:tc>
        <w:tc>
          <w:tcPr>
            <w:tcW w:w="1440" w:type="dxa"/>
            <w:vAlign w:val="bottom"/>
          </w:tcPr>
          <w:p>
            <w:pPr>
              <w:spacing w:after="0"/>
              <w:rPr>
                <w:sz w:val="24"/>
                <w:szCs w:val="24"/>
                <w:color w:val="auto"/>
              </w:rPr>
            </w:pPr>
          </w:p>
        </w:tc>
      </w:tr>
      <w:tr>
        <w:trPr>
          <w:trHeight w:val="190"/>
        </w:trPr>
        <w:tc>
          <w:tcPr>
            <w:tcW w:w="6220" w:type="dxa"/>
            <w:vAlign w:val="bottom"/>
          </w:tcPr>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2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114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320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32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AMSC</w:t>
            </w:r>
          </w:p>
        </w:tc>
        <w:tc>
          <w:tcPr>
            <w:tcW w:w="35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140" w:type="dxa"/>
            <w:vAlign w:val="bottom"/>
          </w:tcPr>
          <w:p>
            <w:pPr>
              <w:spacing w:after="0"/>
              <w:rPr>
                <w:sz w:val="20"/>
                <w:szCs w:val="20"/>
                <w:color w:val="auto"/>
              </w:rPr>
            </w:pPr>
          </w:p>
        </w:tc>
      </w:tr>
      <w:tr>
        <w:trPr>
          <w:trHeight w:val="568"/>
        </w:trPr>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4" w:right="339" w:bottom="1440" w:gutter="0" w:footer="0" w:header="0"/>
        </w:sectPr>
      </w:pPr>
    </w:p>
    <w:bookmarkStart w:id="1" w:name="page2"/>
    <w:bookmarkEnd w:id="1"/>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sectPr>
      </w:pPr>
    </w:p>
    <w:p>
      <w:pPr>
        <w:spacing w:after="0" w:line="68"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5520" w:space="720"/>
            <w:col w:w="5000"/>
          </w:cols>
          <w:pgMar w:left="320" w:top="688" w:right="339" w:bottom="1440"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0"/>
          <w:szCs w:val="20"/>
          <w:color w:val="auto"/>
        </w:rPr>
      </w:pPr>
    </w:p>
    <w:p>
      <w:pPr>
        <w:sectPr>
          <w:pgSz w:w="11900" w:h="16838" w:orient="portrait"/>
          <w:cols w:equalWidth="0" w:num="2">
            <w:col w:w="5520" w:space="720"/>
            <w:col w:w="5000"/>
          </w:cols>
          <w:pgMar w:left="320" w:top="688" w:right="339" w:bottom="1440" w:gutter="0" w:footer="0" w:header="0"/>
          <w:type w:val="continuous"/>
        </w:sectPr>
      </w:pPr>
    </w:p>
    <w:p>
      <w:pPr>
        <w:ind w:left="6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440" w:gutter="0" w:footer="0" w:header="0"/>
          <w:type w:val="continuous"/>
        </w:sectPr>
      </w:pPr>
    </w:p>
    <w:p>
      <w:pPr>
        <w:spacing w:after="0" w:line="204"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Shares outstanding of the Registrant’s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84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30,736,347</w:t>
            </w:r>
          </w:p>
        </w:tc>
      </w:tr>
      <w:tr>
        <w:trPr>
          <w:trHeight w:val="232"/>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40" w:type="dxa"/>
            <w:vAlign w:val="bottom"/>
          </w:tcPr>
          <w:p>
            <w:pPr>
              <w:spacing w:after="0"/>
              <w:rPr>
                <w:sz w:val="20"/>
                <w:szCs w:val="20"/>
                <w:color w:val="auto"/>
              </w:rPr>
            </w:pPr>
          </w:p>
        </w:tc>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January 19, 2024</w:t>
            </w:r>
          </w:p>
        </w:tc>
      </w:tr>
      <w:tr>
        <w:trPr>
          <w:trHeight w:val="248"/>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PART I—FINANCIAL INFORMATION</w:t>
            </w:r>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Mine Safety Disclosure</w:t>
            </w:r>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99"/>
        </w:trPr>
        <w:tc>
          <w:tcPr>
            <w:tcW w:w="800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23,360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30,665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 net</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36,986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13,429</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106,173</w:t>
            </w: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12,309</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Intangibles, net</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8,527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2,857</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43,471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assets</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166,343</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175,561</w:t>
            </w:r>
          </w:p>
        </w:tc>
      </w:tr>
      <w:tr>
        <w:trPr>
          <w:trHeight w:val="183"/>
        </w:trPr>
        <w:tc>
          <w:tcPr>
            <w:tcW w:w="80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23,002</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38,383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current portion</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43,572</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84,108</w:t>
            </w:r>
          </w:p>
        </w:tc>
      </w:tr>
      <w:tr>
        <w:trPr>
          <w:trHeight w:val="203"/>
        </w:trPr>
        <w:tc>
          <w:tcPr>
            <w:tcW w:w="8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 long-term portion</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7,188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 liability, long-term portion</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long-term portion</w:t>
            </w:r>
          </w:p>
        </w:tc>
        <w:tc>
          <w:tcPr>
            <w:tcW w:w="8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93,764</w:t>
            </w:r>
          </w:p>
        </w:tc>
      </w:tr>
      <w:tr>
        <w:trPr>
          <w:trHeight w:val="196"/>
        </w:trPr>
        <w:tc>
          <w:tcPr>
            <w:tcW w:w="80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1,139,113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1,571</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(1,065,079)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(1,055,547)</w:t>
            </w:r>
          </w:p>
        </w:tc>
      </w:tr>
      <w:tr>
        <w:trPr>
          <w:trHeight w:val="196"/>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79,525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81,797</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166,343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175,561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74,241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69,533</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30,878</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(26,170)</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China dissolution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(28,027)</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29,092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27,954</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28,728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27,794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gain,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 dissolution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gain, net of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line="210" w:lineRule="exact"/>
              <w:rPr>
                <w:sz w:val="20"/>
                <w:szCs w:val="20"/>
                <w:color w:val="auto"/>
              </w:rPr>
            </w:pPr>
            <w:r>
              <w:rPr>
                <w:rFonts w:ascii="Times New Roman" w:cs="Times New Roman" w:eastAsia="Times New Roman" w:hAnsi="Times New Roman"/>
                <w:sz w:val="14"/>
                <w:szCs w:val="14"/>
                <w:color w:val="auto"/>
              </w:rPr>
              <w:t>(1,755</w:t>
            </w:r>
            <w:r>
              <w:rPr>
                <w:rFonts w:ascii="Times New Roman" w:cs="Times New Roman" w:eastAsia="Times New Roman" w:hAnsi="Times New Roman"/>
                <w:sz w:val="24"/>
                <w:szCs w:val="24"/>
                <w:color w:val="auto"/>
                <w:vertAlign w:val="subscript"/>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(9,776</w:t>
            </w:r>
            <w:r>
              <w:rPr>
                <w:rFonts w:ascii="Times New Roman" w:cs="Times New Roman" w:eastAsia="Times New Roman" w:hAnsi="Times New Roman"/>
                <w:sz w:val="24"/>
                <w:szCs w:val="24"/>
                <w:color w:val="auto"/>
                <w:vertAlign w:val="subscript"/>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(9,576</w:t>
            </w:r>
            <w:r>
              <w:rPr>
                <w:rFonts w:ascii="Times New Roman" w:cs="Times New Roman" w:eastAsia="Times New Roman" w:hAnsi="Times New Roman"/>
                <w:sz w:val="24"/>
                <w:szCs w:val="24"/>
                <w:color w:val="auto"/>
                <w:vertAlign w:val="sub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(26,277</w:t>
            </w:r>
            <w:r>
              <w:rPr>
                <w:rFonts w:ascii="Times New Roman" w:cs="Times New Roman" w:eastAsia="Times New Roman" w:hAnsi="Times New Roman"/>
                <w:sz w:val="24"/>
                <w:szCs w:val="24"/>
                <w:color w:val="auto"/>
                <w:vertAlign w:val="subscript"/>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SUPERCONDUCTOR CORPORATION UNAUDITED CONSOLIDATED STATEMENTS OF STOCKHOLDERS’ EQUITY FOR THE THREE AND NINE MONTHS ENDED DECEMBER 31, 2023 AND 2022</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9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29,937</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1,139,113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(1,055,547)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81,797</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1,140,626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(1,060,945)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77,918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(1,063,430)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76,894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1,146,405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(1,065,079)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00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1,133,536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(1,020,506)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109,389</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 net of forfeited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1,134,707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(1,029,216)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match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1,136,028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(1,039,097)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match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1,137,622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(1,048,678)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87,207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 dissolution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items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loss on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 and liability accounts: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(15,859)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(17,067)</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employee stock options and ESPP</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(18,135)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25,025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31,351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settle contingent consideration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settle liabilities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Operations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 and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Certain prior period amounts were reclassified to conform to the presentation in the current period.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2023 and 2022 and the financial position at December 31, 2023;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2023, and notes thereto, included in the Company’s Annual Report on Form 10-K for the year ended March 31, 2023 filed with the SEC on May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recurring operating losses and as of December 31, 2023, the Company had an accumulated deficit of $1,065.1 million. In addition, the Company has historically experienced recurring negative operating cash flows. At December 31, 2023, the Company had cash and cash equivalents of $24.0 million. Cash used in operations for the nine months ended December 31, 2023 was $0.1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periods, the Company has experienced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has taken actions to limit this pressure, including adjusting the pricing of its products and services. Changes in macroeconomic conditions arising from various reasons, such as the ongoing wars between Russia and Ukraine and Israel and Hamas, inflation, COVID-19, rising interest rates, labor force availability, sourcing, material delays and global supply chain disruptions, could have a material adverse effect on the Company’s business, financial condition and results of operation.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time-to-time the Company may undertake restructuring activities in order to align the global organization in a manner that the Company believes will better position it to achieve its long-term goals. In January 2023, the Company undertook a reduction in force that involved approximately 5% of the global workforce. This restructuring is expected to incur $1.0 million of cash expenses, of which $0.9 million has been paid as of December 31, 2023 and the remaining $0.1 million is expected to be paid by March 31, 2024, and to result in annualized cost savings of approximately $5.0 million, beginning in fiscal 2023.</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based on the information presented above and its quarterly management assessment, it has sufficient liquidity to fund its operations and capital expenditures for the next twelve months following the issuance of the unaudited condensed consolidated financial statements for the nine months ended December 31, 2023. The Company’s liquidity is highly dependent on its ability to increase revenues, its ability to control its operating costs, and its ability to raise additional capital, if necessary. The impact of COVID-19 and other sources of instability, including the wars between Russia and Ukraine and Israel and Hamas,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Accounting Standards Codification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nine months ended December 31, 2023, 85% and 80% of revenue, respectively, was recognized at the point in time when control transferred to the customer, with the remainder being recognized over time. In the three and nine months ended December 31, 2022, 87% and 80% of revenue, respectively, was recognized at the point in time when control transferred to the customer, with the remainder being recognized over time.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 The Company has elected to recognize revenue based on the As invoiced practical expedient if there is a right to consideration from a customer in an amount that corresponds directly with the value of the Company's performance.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monitors costs to meet its obligations on its customer contracts. When it is evident that there is a loss expected on a contract, a contract loss is accrued in the period. Several long-term contracts that were acquired from Neeltran, Inc. (“Neeltran”) were impacted by higher than planned costs due to required design changes and inflation on material costs, resulting in an increase to the contract loss accrual of $1.6 million and $3.2 million in the three and nine months ended December 31, 2022, respectively, which negatively impacted the Company's gross margins. The contract loss accrual decreased by $2.5 million and $3.4 million in each of the three and nine months ended December 31, 2023, respectively, as projects have been completed.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product line and by shipment destination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 Line: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Grid</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Wind</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Grid</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Wind</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and systems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31,210</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4,983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81,181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13,844</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Services and technology development</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2,393</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6,673</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33,603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5,750</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87,854</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15,757</w:t>
            </w:r>
          </w:p>
        </w:tc>
      </w:tr>
      <w:tr>
        <w:trPr>
          <w:trHeight w:val="183"/>
        </w:trPr>
        <w:tc>
          <w:tcPr>
            <w:tcW w:w="59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26,782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74,640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3,704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5,660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8,832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15,587</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EMEA</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3,117</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4,382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33,603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5,750</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87,854</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15,757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 Line: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Grid</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Wind</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Grid</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Wind</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and systems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19,475</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2,842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61,680</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6,144</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Services and technology development</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1,334</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4,657</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20,809</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3,072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66,337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7,904</w:t>
            </w:r>
          </w:p>
        </w:tc>
      </w:tr>
      <w:tr>
        <w:trPr>
          <w:trHeight w:val="183"/>
        </w:trPr>
        <w:tc>
          <w:tcPr>
            <w:tcW w:w="59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17,010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51,934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1,760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10,615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7,815</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EMEA</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2,039</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20,809</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3,072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66,337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7,904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Unbilled Accounts</w:t>
            </w:r>
          </w:p>
        </w:tc>
        <w:tc>
          <w:tcPr>
            <w:tcW w:w="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Deferred Program</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100" w:type="dxa"/>
            <w:vAlign w:val="bottom"/>
          </w:tcPr>
          <w:p>
            <w:pPr>
              <w:spacing w:after="0"/>
              <w:rPr>
                <w:sz w:val="18"/>
                <w:szCs w:val="18"/>
                <w:color w:val="auto"/>
              </w:rPr>
            </w:pPr>
          </w:p>
        </w:tc>
      </w:tr>
      <w:tr>
        <w:trPr>
          <w:trHeight w:val="19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 as of March 31, 2023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50,760</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Increases for costs incurred to fulfill performance obligations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due to customer billings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(18,354)</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55,018</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Decrease due to cost recognition on completed performance obligations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(3,518)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due to recognition of revenue based on transfer of control of performance</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12,969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(46,190)</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changes and FX impact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59,743</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Unbilled Accounts</w:t>
            </w:r>
          </w:p>
        </w:tc>
        <w:tc>
          <w:tcPr>
            <w:tcW w:w="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Deferred Program</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100" w:type="dxa"/>
            <w:vAlign w:val="bottom"/>
          </w:tcPr>
          <w:p>
            <w:pPr>
              <w:spacing w:after="0"/>
              <w:rPr>
                <w:sz w:val="18"/>
                <w:szCs w:val="18"/>
                <w:color w:val="auto"/>
              </w:rPr>
            </w:pPr>
          </w:p>
        </w:tc>
      </w:tr>
      <w:tr>
        <w:trPr>
          <w:trHeight w:val="19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 as of March 31, 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30,034</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Increases for costs incurred to fulfill performance obligations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due to customer billings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(11,723)</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48,013</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Decrease due to cost recognition on completed performance obligations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due to recognition of revenue based on transfer of control of performance</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9,544</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(36,452)</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changes and FX impact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 as of December 31, 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41,415</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December 31, 2023, the Company had outstanding performance obligations on existing contracts under ASC 606 to be recognized in the next twelve months of approximately $137.2 million. There are also approximately $30.2 million of outstanding performance obligations to be recognized over a period of thirteen to sixty months. The remaining performance obligations are subject to customer actions and therefore the timing of revenue recognition cannot be reasonably estimated.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customers who represented 10% or more of the Company’s total revenues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2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6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Inox Wind Limited</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Wind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&lt;10%</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Fuji Bridex Pte Ltd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its stock-based compensation at fair value. The following table summarizes stock-based compensation expense by financial statement line item for the three and nine months ended December 31, 2023 and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issued no shares and 681,500 shares of restricted stock during the three and nine months ended December 31, 2023, respectively. The Company issued no shares of immediately vested common stock during the three months ended December 31, 2023 and 53,675 shares of immediately vested common stock during the nine months ended December 31, 2023. The Company issued 550,000 shares of restricted stock and no shares of immediately vested common stock during the three months ended December 31, 2022 and 888,500 shares of restricted stock and 25,806 shares of immediately vested common stock during the nine months ended December 31, 2022.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 total unrecognized compensation cost for unvested stock options was less than $0.1 million as of December 31, 2023. This expense will be recognized over a weighted average of approximately 0.4 years. The total unrecognized compensation cost for unvested outstanding restricted stock was $5.8 million as of December 31, 2023. This expense will be recognized over a weighted-average expense period of approximately 1.7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granted no stock options during the three and nine months ended December 31, 2023. The Company granted no stock options in the three months ended December 31, 2022, and 20,564 stock options during the nine months ended December 31, 2022. The stock options granted during the nine months ended December 31, 2022 will vest in equal annual installments over 2 years. The weighted average assumptions used in the Black Scholes valuation model for stock options granted during the nine months ended December 31, 2022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6.14</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Computation of Net Loss per Common Share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each of the three and nine months ended December 31, 2023, 0.3 million shares were not included in the calculation of diluted EPS. Of these, 0.3 million relate to shares associated with the contingent consideration derivative liability for which the contingency has not yet been met, and less than 0.1 million relate to outstanding stock options as they were considered anti-dilutive. For each of the three and nine months ended December 31, 2022, 1.1 million shares were not included in the calculation of diluted EPS. Of these, 1.0 million relate to shares associated with the contingent consideration derivative liability for which the contingency has not yet been met, and 0.1 million relate to outstanding stock options as they were considered anti-dilutive.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of the earnings per share calculation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27,794</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29,092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line="197"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(0.34</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(0.33</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22"/>
                <w:szCs w:val="22"/>
                <w:color w:val="auto"/>
                <w:vertAlign w:val="subscript"/>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diluted</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line="197"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(0.34</w:t>
            </w:r>
            <w:r>
              <w:rPr>
                <w:rFonts w:ascii="Times New Roman" w:cs="Times New Roman" w:eastAsia="Times New Roman" w:hAnsi="Times New Roman"/>
                <w:sz w:val="22"/>
                <w:szCs w:val="22"/>
                <w:color w:val="auto"/>
                <w:vertAlign w:val="subscript"/>
              </w:rPr>
              <w:t>)</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(0.33</w:t>
            </w:r>
            <w:r>
              <w:rPr>
                <w:rFonts w:ascii="Times New Roman" w:cs="Times New Roman" w:eastAsia="Times New Roman" w:hAnsi="Times New Roman"/>
                <w:sz w:val="22"/>
                <w:szCs w:val="22"/>
                <w:color w:val="auto"/>
                <w:vertAlign w:val="subscript"/>
              </w:rPr>
              <w:t>)</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22"/>
                <w:szCs w:val="22"/>
                <w:color w:val="auto"/>
                <w:vertAlign w:val="subscript"/>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left="140" w:right="140" w:firstLine="486"/>
        <w:spacing w:after="0" w:line="266"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8"/>
          <w:szCs w:val="18"/>
          <w:color w:val="auto"/>
        </w:rPr>
        <w:t>There were no changes to goodwill during the nine months ended December 31, 2023 or year ended March 31,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triggering events in the three and nine months ended December 31, 2023 that would require interim impairment testing of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December 31, 2023 and March 31, 2023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2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 and know-how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(4,231)</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8,527</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intangible amortization expense related to customer relationship and core technology and know-how of $0.5 million and $1.6 million, in the three and nine months ended December 31, 2023, respectively, and $0.7 million and $2.1 million in the three and nine months ended December 31, 2022, respectively. Additionally, the Company recorded no intangible amortization related to backlog that is reported in cost of revenues in the three months ended December 31, 2023 and less than $0.1 million in the nine months ended December 31, 2023. The Company recorded less than $0.1 million related to backlog that is reported in cost of revenues in the three and nine months ended December 31, 2022,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measurement date.</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in markets that are not active, inputs other than quoted prices that are observable for the asset or liability, and inputs that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 derived principally from or corroborated by observable market data by correlation or other means (market corroborated inputs).</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develops these inputs based on the best information available, including its own data.</w:t>
            </w:r>
          </w:p>
        </w:tc>
      </w:tr>
    </w:tbl>
    <w:p>
      <w:pPr>
        <w:spacing w:after="0" w:line="19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nine months ended December 31, 2023.</w:t>
      </w:r>
    </w:p>
    <w:p>
      <w:pPr>
        <w:spacing w:after="0" w:line="183"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Contingent consideration relates to the earnout payment set forth in the Stock Purchase Agreement governing the acquisition of Northeast Power Systems, Inc ("NEPSI") that provides that the selling stockholders may receive up to an additional 300,000 shares of common stock of the Company upon the achievement of certain specified revenue objectives over varying periods of up to four years following the NEPSI Acquisition Date. See Note 13, "Contingent Consideration" for further discussion. The Company relied on a Monte Carlo method to determine the fair value of the contingent consideration on the closing of the acquisition of NEPSI and continues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46" w:right="25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on a recurring basis, measured as of December 31, 2023 and March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r>
      <w:tr>
        <w:trPr>
          <w:trHeight w:val="410"/>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r>
    </w:tbl>
    <w:p>
      <w:pPr>
        <w:spacing w:after="0" w:line="198" w:lineRule="exact"/>
        <w:rPr>
          <w:sz w:val="20"/>
          <w:szCs w:val="20"/>
          <w:color w:val="auto"/>
        </w:rPr>
      </w:pPr>
    </w:p>
    <w:p>
      <w:pPr>
        <w:ind w:left="140" w:right="140" w:firstLine="499"/>
        <w:spacing w:after="0" w:line="282" w:lineRule="auto"/>
        <w:rPr>
          <w:sz w:val="20"/>
          <w:szCs w:val="20"/>
          <w:color w:val="auto"/>
        </w:rPr>
      </w:pPr>
      <w:r>
        <w:rPr>
          <w:rFonts w:ascii="Times New Roman" w:cs="Times New Roman" w:eastAsia="Times New Roman" w:hAnsi="Times New Roman"/>
          <w:sz w:val="18"/>
          <w:szCs w:val="18"/>
          <w:color w:val="auto"/>
        </w:rPr>
        <w:t>The table below reflects the activity for the Company’s contingent consideration derivative liability measured at fair value on a recurring basis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at December 31, 2023 and March 31, 2023 consisted of the following (in thousands):</w:t>
      </w:r>
    </w:p>
    <w:p>
      <w:pPr>
        <w:spacing w:after="0" w:line="22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left="180" w:right="100"/>
        <w:spacing w:after="0" w:line="259" w:lineRule="auto"/>
        <w:rPr>
          <w:sz w:val="20"/>
          <w:szCs w:val="20"/>
          <w:color w:val="auto"/>
        </w:rPr>
      </w:pPr>
      <w:r>
        <w:rPr>
          <w:rFonts w:ascii="Times New Roman" w:cs="Times New Roman" w:eastAsia="Times New Roman" w:hAnsi="Times New Roman"/>
          <w:sz w:val="18"/>
          <w:szCs w:val="18"/>
          <w:b w:val="1"/>
          <w:bCs w:val="1"/>
          <w:color w:val="auto"/>
        </w:rPr>
        <w:t>Acquisition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916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hanging="103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w:t>
      </w:r>
    </w:p>
    <w:p>
      <w:pPr>
        <w:spacing w:after="0" w:line="2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1,270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(3,092)</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3,052</w:t>
      </w:r>
    </w:p>
    <w:p>
      <w:pPr>
        <w:ind w:left="1040" w:hanging="1033"/>
        <w:spacing w:after="0" w:line="184" w:lineRule="auto"/>
        <w:tabs>
          <w:tab w:leader="none" w:pos="1040" w:val="left"/>
        </w:tabs>
        <w:numPr>
          <w:ilvl w:val="0"/>
          <w:numId w:val="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5"/>
          <w:szCs w:val="15"/>
          <w:color w:val="auto"/>
        </w:rPr>
        <w:t>1,230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0</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17145</wp:posOffset>
            </wp:positionV>
            <wp:extent cx="8483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31" w:lineRule="exact"/>
        <w:rPr>
          <w:sz w:val="20"/>
          <w:szCs w:val="20"/>
          <w:color w:val="auto"/>
        </w:rPr>
      </w:pPr>
    </w:p>
    <w:p>
      <w:pPr>
        <w:sectPr>
          <w:pgSz w:w="11900" w:h="16838" w:orient="portrait"/>
          <w:cols w:equalWidth="0" w:num="2">
            <w:col w:w="9280" w:space="400"/>
            <w:col w:w="156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4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4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9,958</w:t>
            </w:r>
          </w:p>
        </w:tc>
      </w:tr>
      <w:tr>
        <w:trPr>
          <w:trHeight w:val="250"/>
        </w:trPr>
        <w:tc>
          <w:tcPr>
            <w:tcW w:w="3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3880" w:type="dxa"/>
            <w:vAlign w:val="bottom"/>
          </w:tcPr>
          <w:p>
            <w:pPr>
              <w:spacing w:after="0"/>
              <w:rPr>
                <w:sz w:val="24"/>
                <w:szCs w:val="24"/>
                <w:color w:val="auto"/>
              </w:rPr>
            </w:pPr>
          </w:p>
        </w:tc>
        <w:tc>
          <w:tcPr>
            <w:tcW w:w="414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at December 31, 2023 and March 31, 2023 consisted of the following (in thousands):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program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21,197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16,654</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15,200</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2,996</w:t>
            </w:r>
          </w:p>
        </w:tc>
      </w:tr>
      <w:tr>
        <w:trPr>
          <w:trHeight w:val="234"/>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44,197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-161925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220"/>
          </w:cols>
          <w:pgMar w:left="320" w:top="846"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inventory write-downs of $0.5 million and $0.2 million for the three months ended December 31, 2023 and 2022, respectively. The Company recorded inventory write-downs of $1.5 million and $1.2 million for the nine months ended December 31, 2023 and 2022, respectively. These write-downs were based on the Company's evaluation of its inventory on hand for excess quantities and obsolescence.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program costs as of December 31, 2023 and March 31, 2023,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Prepaid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fiscal 2022, the Company conducted an analysis as to whether it was entitled to employee retention credits (“ERC”) under the CARES Act as amended by the Taxpayer Certainty and Disaster Tax Relief Act of 2020 and the American Rescue Plan Act of 2021. Based on the analysis, the Company determined that it was entitled to an ERC of approximately $3.3 million related to payroll taxes paid in the first and second quarters of 2021 and the first quarter of 2020. The Company determined it met all the criteria required under the gross receipts test of the applicable Internal Revenue Service regulations related to ERCs.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accounting for payroll tax credits are not within the scope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has chosen to account for the ERCs by analogizing to the International Accounting Standards Board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In accordance with IAS 20,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three month periods ended March 31, 2021 and June 30, 2021 and for up to 50% of the qualified wages the Company paid to employees for the three month period ended March 31, 2020.</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 $3.3 million receivable in Prepaid expenses and other current assets and a benefit of $1.8 million to Cost of revenues, $0.8 million to SG&amp;A and $0.7 million to Research and development in the fiscal year ended March 31, 2023 for the ERC that is expected to be received based on the amended filings. During the nine months ended December 31, 2023, the Company received $3.0 million for the initial claims that were processed. The remaining balance is expected to be received during the remainder of fiscal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Property, Plant and Equipment</w:t>
            </w: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cost and accumulated depreciation of property, plant and equipment at</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2023 and</w:t>
            </w: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March 31, 2023 are as follows (in</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4"/>
                <w:szCs w:val="24"/>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43,156</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 right of use asset</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r>
        <w:trPr>
          <w:trHeight w:val="216"/>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58,651</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(46,342)</w:t>
            </w:r>
          </w:p>
        </w:tc>
      </w:tr>
      <w:tr>
        <w:trPr>
          <w:trHeight w:val="209"/>
        </w:trPr>
        <w:tc>
          <w:tcPr>
            <w:tcW w:w="6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Borders>
              <w:top w:val="single" w:sz="8" w:color="CCEEFF"/>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$0.6 million and $0.6 million for the three months ended December 31, 2023 and 2022, respectively. Depreciation expense was $1.7 million and $2.0 million for the nine months ended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2023 and March 31, 2023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13,935</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loss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38,383</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warranties during the period</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$0.1 million and $0.3 million in the three and nine months ended December 31, 2023, respectively. The Company recorded an income tax expense of $0.1 million in each of the three and nine months ended December 31, 2022, respectively.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nine months ended December 31, 2023 and did not have any gross unrecognized tax benefits as of December 31,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Contingent Consideration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during varying periods of up to four years following closing of the NEPSI Acquisition. NEPSI has recognized revenues in excess of $75.0 million during the three years after the NEPSI Acquisition Date. As a result, the Company issued 399,999 shares of common stock of the Company and cash in lieu of a fractional share of common stock to the selling stockholders during the quarter ended December 31, 2023, following certification of the achievement of specified earnout revenue objectives.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NEPSI Acquisition earnout payment set forth in the NEPSI Stock Purchase Agreement, which is expected to require settlement in the Company's common stock, and determined the contingent consideration qualified for liability classification and derivative treatment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a result, for each period, the fair value of the contingent consideration will be remeasured and the resulting gain or loss will be recognized in operating expenses until the share amount is fixed.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Following is a summary of the key assumptions used in a Monte Carlo simulation to calculate the fair value of the contingent consideration related to the NEPSI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2023</w:t>
            </w:r>
          </w:p>
        </w:tc>
        <w:tc>
          <w:tcPr>
            <w:tcW w:w="152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920" w:type="dxa"/>
            <w:vAlign w:val="bottom"/>
          </w:tcPr>
          <w:p>
            <w:pPr>
              <w:spacing w:after="0"/>
              <w:rPr>
                <w:sz w:val="20"/>
                <w:szCs w:val="20"/>
                <w:color w:val="auto"/>
              </w:rPr>
            </w:pPr>
          </w:p>
        </w:tc>
      </w:tr>
      <w:tr>
        <w:trPr>
          <w:trHeight w:val="20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jc w:val="right"/>
              <w:ind w:right="27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15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3920" w:type="dxa"/>
            <w:vAlign w:val="bottom"/>
            <w:gridSpan w:val="2"/>
          </w:tcPr>
          <w:p>
            <w:pPr>
              <w:jc w:val="right"/>
              <w:ind w:right="27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shd w:val="clear" w:color="auto" w:fill="CCEEFF"/>
          </w:tcPr>
          <w:p>
            <w:pPr>
              <w:jc w:val="right"/>
              <w:ind w:right="29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15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392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shd w:val="clear" w:color="auto" w:fill="CCEEFF"/>
          </w:tcPr>
          <w:p>
            <w:pPr>
              <w:jc w:val="right"/>
              <w:ind w:right="292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left="160" w:firstLine="207"/>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December 31, 2023 the Company issued 399,999 shares and cash in lieu of a fractional share of common stock related to the achievement of specified revenue objectives at a fair value of $3.1 million. One specified revenue objective, which would have earned the selling stockholders 300,000 shares of Company common stock, was not achieved, leaving 300,000 shares of common stock remaining for potential issuance upon the achievement of the last specified revenue objective by September 30, 2024. The Company recorded losses of $0.9 million and</w:t>
      </w:r>
    </w:p>
    <w:p>
      <w:pPr>
        <w:spacing w:after="0" w:line="3" w:lineRule="exact"/>
        <w:rPr>
          <w:sz w:val="20"/>
          <w:szCs w:val="20"/>
          <w:color w:val="auto"/>
        </w:rPr>
      </w:pPr>
    </w:p>
    <w:p>
      <w:pPr>
        <w:ind w:left="160" w:right="600"/>
        <w:spacing w:after="0" w:line="260" w:lineRule="auto"/>
        <w:rPr>
          <w:sz w:val="20"/>
          <w:szCs w:val="20"/>
          <w:color w:val="auto"/>
        </w:rPr>
      </w:pPr>
      <w:r>
        <w:rPr>
          <w:rFonts w:ascii="Times New Roman" w:cs="Times New Roman" w:eastAsia="Times New Roman" w:hAnsi="Times New Roman"/>
          <w:sz w:val="18"/>
          <w:szCs w:val="18"/>
          <w:color w:val="auto"/>
        </w:rPr>
        <w:t>$3.1 million resulting from the increases in the fair value of the contingent consideration in the three and nine months ended December 31, 2023,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Debt</w:t>
      </w:r>
    </w:p>
    <w:p>
      <w:pPr>
        <w:spacing w:after="0" w:line="229" w:lineRule="exact"/>
        <w:rPr>
          <w:sz w:val="20"/>
          <w:szCs w:val="20"/>
          <w:color w:val="auto"/>
        </w:rPr>
      </w:pPr>
    </w:p>
    <w:p>
      <w:pPr>
        <w:jc w:val="both"/>
        <w:ind w:firstLine="760"/>
        <w:spacing w:after="0" w:line="266" w:lineRule="auto"/>
        <w:rPr>
          <w:sz w:val="20"/>
          <w:szCs w:val="20"/>
          <w:color w:val="auto"/>
        </w:rPr>
      </w:pPr>
      <w:r>
        <w:rPr>
          <w:rFonts w:ascii="Times New Roman" w:cs="Times New Roman" w:eastAsia="Times New Roman" w:hAnsi="Times New Roman"/>
          <w:sz w:val="18"/>
          <w:szCs w:val="18"/>
          <w:color w:val="auto"/>
        </w:rPr>
        <w:t>As part of the acquisition of Neeltran, the Company identified four equipment financing agreements that Neeltran had entered into prior to the acquisition of Neeltran on May 6, 2021. The current debt balance is less than $0.1 million as of December 31, 2023 and was $0.1 million as of March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condensed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right-of-use asset related to the finance lease, net of accumulated amortization is $0.0 million, and is included in the property and equipment, net on the Company's condensed consolidated balance sheet.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at December 31, 2023, and March 31,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Financing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2,857</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ST Financing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LT Operating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2,184</w:t>
            </w: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2,992</w:t>
            </w:r>
          </w:p>
        </w:tc>
      </w:tr>
      <w:tr>
        <w:trPr>
          <w:trHeight w:val="197"/>
        </w:trPr>
        <w:tc>
          <w:tcPr>
            <w:tcW w:w="79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 years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 years</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costs related to the Company's finance lease are not material. The costs related to the Company's operating leases for the three and nine months ended December 31, 2023 and 2022 are as follows (in thousands):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r>
      <w:tr>
        <w:trPr>
          <w:trHeight w:val="4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r>
      <w:tr>
        <w:trPr>
          <w:trHeight w:val="4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-2133600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-1859280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-1576705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-719455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-445135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-161925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603"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estimated minimum future lease obligations under the Company's leases are as follows (in thousands):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09"/>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09"/>
        </w:trPr>
        <w:tc>
          <w:tcPr>
            <w:tcW w:w="9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not misleading. If the loss is not probable or cannot be reasonably estimated, a liability is not recorded in its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$0.4 million of restricted cash included in long-term assets and $0.7 million of restricted cash included in current assets. As of March 31, 2023, the Company had $0.6 million of restricted cash included in long term assets and $1.7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Restructuring</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accounts for charges resulting from operational restructuring actions in accordance with ASC Topic 420</w:t>
      </w:r>
      <w:r>
        <w:rPr>
          <w:rFonts w:ascii="Times New Roman" w:cs="Times New Roman" w:eastAsia="Times New Roman" w:hAnsi="Times New Roman"/>
          <w:sz w:val="18"/>
          <w:szCs w:val="18"/>
          <w:i w:val="1"/>
          <w:iCs w:val="1"/>
          <w:color w:val="auto"/>
        </w:rPr>
        <w:t>, 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(“ASC 420”) and ASC Topic 712</w:t>
      </w:r>
      <w:r>
        <w:rPr>
          <w:rFonts w:ascii="Times New Roman" w:cs="Times New Roman" w:eastAsia="Times New Roman" w:hAnsi="Times New Roman"/>
          <w:sz w:val="18"/>
          <w:szCs w:val="18"/>
          <w:i w:val="1"/>
          <w:iCs w:val="1"/>
          <w:color w:val="auto"/>
        </w:rPr>
        <w: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Nonretirement Postemployment Benefits </w:t>
      </w:r>
      <w:r>
        <w:rPr>
          <w:rFonts w:ascii="Times New Roman" w:cs="Times New Roman" w:eastAsia="Times New Roman" w:hAnsi="Times New Roman"/>
          <w:sz w:val="18"/>
          <w:szCs w:val="18"/>
          <w:color w:val="auto"/>
        </w:rPr>
        <w:t>(“ASC 712”). In accounting for these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condensed consolidated balance sheet.</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24,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approved a plan to reduce its global workforce by approximately 5%, effective as of such date. The purpose of the workforce reduction was to reduce operating expenses to better align with the Company’s current revenues. In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recorded restructuring charges of $1.0 million as a result of this reduction in force, which was comprised of severance pay. All amounts related to these restructuring activities are expected to be paid by March 31,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restructuring charges and cash payments during the nine months ended December 31, 2023 and year ended March 31, 2023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balance at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payments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restructuring balance at December 31,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balance at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payments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balance at March 31, 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Severance pay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180" w:hanging="1173"/>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w:t>
      </w:r>
    </w:p>
    <w:p>
      <w:pPr>
        <w:spacing w:after="0" w:line="22"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(600)</w:t>
      </w:r>
    </w:p>
    <w:p>
      <w:pPr>
        <w:spacing w:after="0" w:line="23" w:lineRule="exact"/>
        <w:rPr>
          <w:sz w:val="20"/>
          <w:szCs w:val="20"/>
          <w:color w:val="auto"/>
        </w:rPr>
      </w:pPr>
    </w:p>
    <w:p>
      <w:pPr>
        <w:ind w:left="1180" w:hanging="1173"/>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22860</wp:posOffset>
            </wp:positionV>
            <wp:extent cx="9169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Severance pay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280" w:hanging="1273"/>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1,048</w:t>
      </w:r>
    </w:p>
    <w:p>
      <w:pPr>
        <w:spacing w:after="0" w:line="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w:t>
      </w:r>
    </w:p>
    <w:p>
      <w:pPr>
        <w:spacing w:after="0" w:line="9" w:lineRule="exact"/>
        <w:rPr>
          <w:sz w:val="20"/>
          <w:szCs w:val="20"/>
          <w:color w:val="auto"/>
        </w:rPr>
      </w:pPr>
    </w:p>
    <w:p>
      <w:pPr>
        <w:ind w:left="1180" w:hanging="1173"/>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16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60" w:space="720"/>
            <w:col w:w="1560"/>
          </w:cols>
          <w:pgMar w:left="320" w:top="607" w:right="339" w:bottom="1440" w:gutter="0" w:footer="0" w:header="0"/>
          <w:type w:val="continuous"/>
        </w:sectPr>
      </w:pPr>
    </w:p>
    <w:p>
      <w:pPr>
        <w:spacing w:after="0" w:line="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restructuring charges discussed above are included within restructuring in the Company’s condensed consolidated statements of operations. The Company includes accrued restructuring within accounts payable and accrued expenses in the condensed consolidated balance sheets. The Company's restructuring charges relate primarily to the Grid business segment operations in the United States.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reports its financial results in two reportable business segments: Grid and Wind. In accordance with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 we aggregate four operating segments into one reporting segment for financial reporting purposes due to their similar operating and financial characteristics. Our operating segments reflect the way in which internally-reported financial information is used to make decisions and allocate resources.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megawatts ("MWs") and higher. The Company provides a broad range of power electronics and software-based control systems that are highly integrated and designed for optimized performance, efficiency, and grid compatibility.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74,241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(26,170)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Unallocated corporate expenses consisted of net losses of $0.9 million and $3.1 million resulting from the increases in the fair value of contingent consideration in the three and nine months ended December 31, 2023, respectively. There are 300,000 shares remaining for potential issuance upon the achievement of the last specified revenue objective under the NEPSI Stock Purchase Agreement by September 30, 2024. Unallocated corporate expenses consisted of a gain on contingent consideration of $0.2 million and $0.3 million in the three and nine months ended December 31, 2022, respectively. Additionally, unallocated corporate expenses consisted of stock-based compensation expense of $1.1 million and $1.4 million in the three months ended December 31, 2023 and 2022, respectively, and $3.6 million and $3.5 million in the nine months ended December 31, 2023 and 2022, respectively.</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 for the two business segments as of December 31, 2023 and March 31,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4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128,395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135,296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14,361</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4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175,561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6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19. 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June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Accounting Standards Board ("FASB") issued Accounting Standards Update ("ASU") </w:t>
      </w:r>
      <w:r>
        <w:rPr>
          <w:rFonts w:ascii="Times New Roman" w:cs="Times New Roman" w:eastAsia="Times New Roman" w:hAnsi="Times New Roman"/>
          <w:sz w:val="18"/>
          <w:szCs w:val="18"/>
          <w:i w:val="1"/>
          <w:iCs w:val="1"/>
          <w:color w:val="auto"/>
        </w:rPr>
        <w:t>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13,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Measurement of Credit Losses on Financial Instruments</w:t>
      </w:r>
      <w:r>
        <w:rPr>
          <w:rFonts w:ascii="Times New Roman" w:cs="Times New Roman" w:eastAsia="Times New Roman" w:hAnsi="Times New Roman"/>
          <w:sz w:val="18"/>
          <w:szCs w:val="18"/>
          <w:color w:val="auto"/>
        </w:rPr>
        <w:t>. The amendments in ASU 2016-13 will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about the expected credit losses on financial instruments and other commitments to extend credit held by a reporting entity at each reporting date. Following the release of ASU 2019-10 in November 2019, the effective date, as long as the Company remains a smaller reporting company, was annual reporting periods beginning after December 15, 2022. As of April 1, 2023, the Company has adopted ASU 2016-13 and noted no material impact on its condensed consolidated financial statements.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amendments in ASU 2021-08 will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Following the release of ASU 2021-08 in October 2021, the effective date was annual reporting periods beginning after December 15, 2022. As of April 1, 2023, the Company has adopted ASU 2021-08 and noted no material impact on its condensed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December 31, 2023, the Company is evaluating the impact on its condensed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December 31, 2023, the Company is evaluating the impact on its condensed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acquisitions of Northeast Power Systems, Inc. ("NEPSI") and Neeltran, Inc. ("Neeltran"), contingent payments related to the NEPSI acquisition, changes in macroeconomic and market conditions, including increasing inflation and impacts from COVID-19,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COVID-19 has adversely impacted our business, financial condition and results of operations and other future pandemics or health crises may have similar impacts; 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We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products face competition, which could limit our ability to acquire or retain customers; Industry consolidation could result in more powerful competitors and fewer customers; Our products face competition, which could limit our ability to acquire or retain customers; Industry consolidation could result in more powerful competitors and fewer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2023,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91" w:orient="portrait"/>
          <w:cols w:equalWidth="0" w:num="1">
            <w:col w:w="11240"/>
          </w:cols>
          <w:pgMar w:left="320" w:top="900" w:right="339" w:bottom="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American Superconductor®, Amperium®, AMSC®, D-VAR®, PowerModule™, D-VAR VVO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74" w:lineRule="exact"/>
        <w:rPr>
          <w:sz w:val="20"/>
          <w:szCs w:val="20"/>
          <w:color w:val="auto"/>
        </w:rPr>
      </w:pPr>
    </w:p>
    <w:p>
      <w:pPr>
        <w:jc w:val="both"/>
        <w:ind w:left="800" w:hanging="239"/>
        <w:spacing w:after="0" w:line="257"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industrial facilities, and renewable energy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49" w:lineRule="exact"/>
        <w:rPr>
          <w:rFonts w:ascii="Times New Roman" w:cs="Times New Roman" w:eastAsia="Times New Roman" w:hAnsi="Times New Roman"/>
          <w:sz w:val="18"/>
          <w:szCs w:val="18"/>
          <w:color w:val="auto"/>
        </w:rPr>
      </w:pPr>
    </w:p>
    <w:p>
      <w:pPr>
        <w:jc w:val="both"/>
        <w:ind w:left="800" w:hanging="252"/>
        <w:spacing w:after="0" w:line="258"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that began on April 1 of that same year. For example, fiscal 2023 refers to the fiscal year that began on April 1, 2023. Other fiscal years follow similarly.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experience some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conditions arising from various reasons, such as the ongoing wars between Russia and Ukraine and Israel and Hamas, inflation, COVID-19, rising interest rates, labor force availability, sourcing, material delays and global supply chain disruptions, could have a material adverse effect on the Company’s business, financial condition and results of operation.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is expected to incur $1.0 million of cash expenses, of which $0.9 million has been paid as of December 31, 2023 and the remaining $0.1 million is expected to be paid by March 31, 2024, and to result in annualized cost savings of approximately $5.0 million, beginning in fiscal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During the nine months ended December 31, 2023, we received $3.0 million in payments for the initial claims that were processed. The remaining balance is expected to be paid during the remainder of fiscal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Certain prior period amounts were reclassified to conform to the presentation in the current period. There were no significant changes in the critical accounting policies that were disclosed in our Annual Report on Form 10-K for the fiscal year ended March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December 31, 2023, compared to the three and nine months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65% to $39.4 million for the three months ended December 31, 2023 and total revenues increased 40% to $103.6 million for the nine months ended December 31, 2023, compared to $23.9 million and $74.2 million for the three and nine months ended December 31, 2022, respectively. Our revenues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74,241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Grid business unit accounted for 85% of total revenues for each of the three and nine months ended December 31, 2023, respectively, compared to 87% and 89% for the three and nine months ended December 31, 2022, respectively. Our Grid business unit revenues increased 61% to $33.6 million in the three months ended December 31, 2023, from $20.8 million in the three months ended December 31, 2022. Our Grid business unit revenues increased 32% to $87.9 million in the nine months ended December 31, 2023, from $66.3 million in the nine months ended December 31, 2022. The increase in the Grid business unit revenues in the three and nine months ended December 31, 2023, compared to the three and nine months ended December 31, 2022 was primarily driven by increased shipments of new energy power systems and increased ship protection systems revenues than in the prior year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Wind business unit accounted for 15% of total revenues for each of the three and nine months ended December 31, 2023, respectively, compared to 13% and 11% for the three and nine months ended December 31, 2022, respectively. Revenues in the Wind business unit increased 87% and 99% to $5.8 million and $15.8 million in the three and nine months ended December 31, 2023, from $3.1 million and $7.9 million in the three and nine months ended December 31, 2022, respectively. The increase during the three and nine months ended December 31, 2023, compared to the three and nine months ended December 31, 2022, was driven by additional shipments of electrical control systems ("ECS") at increased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revenues increased by 26% to $29.4 million for the three months ended December 31, 2023, compared to $23.4 million for the three months ended December 31, 2022. Cost of revenues increased by 13% to $78.8 million for the nine months ended December 31, 2023, compared to $69.5 million for the nine months ended December 31, 2022. Gross margin was 25% and 24% for the three and nine months ended December 31, 2023, respectively, compared to 2% and 6% for the three and nine months ended December 31, 2022, respectively. The increase in gross margin in the three and nine months ended December 31, 2023 was due to higher revenues, a more favorable product mix and favorable impacts across the business due to pricing increases across our product 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increased 6% in the three months ended December 31, 2023 to $2.2 million from $2.1 million in the three months ended December 31, 2022. The increase was driven primarily by lower cost share revenue. R&amp;D expense decreased 20% in the nine months ended December 31, 2023 to $5.7 million from $7.1 million in the nine months ended December 31, 2022. The decrease was driven primarily by decreased compensation, materials and supplies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9% in the three months ended December 31, 2023 to $7.8 million from $7.2 million in the three months ended December 31, 2022. SG&amp;A expenses increased 7% to $23.6 million in the nine months ended December 31, 2023, compared to $22.1 million in the nine months ended December 31, 2022. The increase in SG&amp;A expense in the three and nine months ended December 31, 2023, was due to higher overall compensation expense than in each of the prior year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amortization expense related to our core technology and know-how, customer relationships, and other intangible assets of $0.5 million and $1.6 million in the three and nine months ended December 31, 2023, respectively, and $0.7 million and $2.1 million in the three and nine months ended December 31, 2022, respectively. The decrease in amortization expense in both periods is a result of using the economic consumption method as the basis to amortize the acquired customer relationship intangible assets from Northeast Power Systems, Inc ("NEPSI") and Neeltran.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change in fair value of our contingent consideration for the earnout payment on the acquisition of NEPSI resulted in losses of $0.9 million and $3.1 million resulting from the increase in the fair value of the contingent consideration in the three and nine months ended December 31, 2023, respectively. During the three and nine months ended December 31, 2023 we issued 399,999 shares and cash in lieu of a fractional share of common stock related to the achievement of specified revenue objectives in connection with the acquisition of NEPSI at a fair value of $3.1 million. One specified revenue objective, which would have earned the selling stockholders 300,000 shares of our common stock, was not achieved, leaving 300,000 shares of common stock remaining for potential issuance upon the achievement of the last specified revenue objective by September 30, 2024. We recorded the above noted losses, compared to a gain of $0.2 million and $0.3 million in the three and nine months ended December 31, 2022, respectively. The change in the fair value was driven by an increased likelihood of achieving certain revenue targets and an increase in our stock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Our operating income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4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(20,840)</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(6,646)</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(26,170)</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60" w:space="320"/>
            <w:col w:w="5260"/>
          </w:cols>
          <w:pgMar w:left="320" w:top="576" w:right="339" w:bottom="1440" w:gutter="0" w:footer="0" w:header="0"/>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Grid business segment generated operating income of $0.3 million and operating loss of $2.4 million in the three and nine months ended December 31, 2023, respectively, compared to operating losses of $7.1 million and $20.9 million in the three and nine months ended December 31, 2022, respectively. The increase in the Grid business unit operating income in the three and nine months ended December 31, 2023 was due to higher revenues and gross margins due to a favorable product mix as well as the reduction of the remaining acquired Neeltran backlog.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Wind business segment generated operating income of $0.3 million and operating loss of $0.1 million in the three and nine months ended December 31, 2023, respectively, compared to operating losses of $0.9 million and $2.2 million in the three and nine months ended December 31, 2022, respectively. The improvement in the Wind business unit operating income in the three and nine months ended December 31, 2023 was due to higher revenues and gross margins from increased sales of ECS units.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included net losses of $0.9 million and $3.1 million resulting from the increases in the fair value of the NEPSI contingent consideration in the three and nine months ended December 31, 2023, respectively. Additionally, unallocated corporate expenses consisted of stock-based compensation expense of $1.1 million and $3.6 million in the three and nine months ended December 31, 2023, respectively, and $1.4 million and $3.5 million in the three and nine months ended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net, was $0.2 million and $0.5 million in the three and nine months ended December 31, 2023, respectively, compared to less than $0.1 million and $0.1 million in the three and nine months ended December 31, 2022, respectively, due to higher earned interest at increased interest rates in the fiscal year 2023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dissolution</w:t>
      </w:r>
    </w:p>
    <w:p>
      <w:pPr>
        <w:spacing w:after="0" w:line="229" w:lineRule="exact"/>
        <w:rPr>
          <w:sz w:val="20"/>
          <w:szCs w:val="20"/>
          <w:color w:val="auto"/>
        </w:rPr>
      </w:pPr>
    </w:p>
    <w:p>
      <w:pPr>
        <w:ind w:right="40" w:firstLine="540"/>
        <w:spacing w:after="0" w:line="261" w:lineRule="auto"/>
        <w:rPr>
          <w:sz w:val="20"/>
          <w:szCs w:val="20"/>
          <w:color w:val="auto"/>
        </w:rPr>
      </w:pPr>
      <w:r>
        <w:rPr>
          <w:rFonts w:ascii="Times New Roman" w:cs="Times New Roman" w:eastAsia="Times New Roman" w:hAnsi="Times New Roman"/>
          <w:sz w:val="18"/>
          <w:szCs w:val="18"/>
          <w:color w:val="auto"/>
        </w:rPr>
        <w:t>China dissolution expense was $1.9 million in the nine months ended December 31, 2022, and there was no similar transaction in the three and nine months ended December 31, 2023, or the three months ended December 31, 2022. The impact of the China dissolution expense during the nine months ended December 31, 2022 was driven by the liquidation of our China entity, resulting in a foreign currency loss from the cumulative translation release of $1.9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net, was $0.3 million and $0.6 million in the three and nine months ended December 31, 2023, respectively, compared to other expense, net, of $0.3 million and less than $0.1 million in the three and nine months ended December 31, 2022, respectively. The increase in other expense, net, during the three and nine months ended December 31, 2023, compared to the three and nine months ended December 31, 2022, was driven by the impacts of unfavorable fluctuations in foreign currencies during the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and $0.3 million in the three and nine months ended December 31, 2023, respectively. Income tax expense was $0.1 million in each of the three and nine months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was $1.6 million and $9.5 million in the three and nine months ended December 31, 2023, respectively, compared to $9.6 million and $28.2 million in the three and nine months ended December 31, 2022, respectively. The decrease in net loss in both periods was driven primarily by the increased revenues and gross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Net Income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non-GAAP net income (loss) as net loss before China dissolution, stock-based compensation, amortization of acquisition-related intangibles, change in fair value of contingent consideration, and other non-cash or unusual charges. We believe non-GAAP net income (loss) assists management and investors in comparing our performance across reporting periods on a consistent basis by excluding these non-cash charges and other items that we do not believe are indicative of our core operating performance. In addition, we use non-GAAP net income (loss) as a factor to evaluate the effectiveness of our business strategies. A reconciliation of GAAP to non-GAAP net income (loss) is set forth in the table below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China dissolution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 - 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29,092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27,954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28,728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27,794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non-GAAP net income of $0.9 million and a non-GAAP net loss of $1.3 million, or $0.03 and $(0.04) per share, for the three and nine months ended December 31, 2023, respectively, compared to non-GAAP net losses of $7.7 million and $21.0 million, or $(0.27) and $(0.76) per share, for the three and nine months ended December 31, 2022, respectively. The improvement in the non-GAAP net income (loss) for the three and nine months ended December 31, 2023 was due to a lower operating loss driven by higher revenues and gross margins.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experienced recurring operating losses and, as of December 31, 2023, had an accumulated deficit of $1,065.1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cash, cash equivalents and restricted cash of $25.0 million, compared to $25.7 million as of March 31, 2023, a decrease of $0.7 million. As of December 31, 2023, we had $2.4 million in cash, cash equivalents, and restricted cash in foreign bank accounts. Our cash, cash equivalents, and restricted cash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2023, net cash used in operating activities was $0.1 million, compared to $17.1 million for the nine months ended December 31, 2022. The decrease in net cash used in operations was due primarily to decreases in net loss and in prepaid expenses and other current assets in the nine months ended December 31, 2023 as compared to December 31, 2022. Cash flows from operating activities in the nine months ended December 31, 2023 included a reimbursement of $3.0 million for the ERC receivable included in prepaid expenses and other current assets at March 31,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December 31, 2023, net cash used in investing activities was $0.6 million, compared to $1.2 million for the nine months ended December 31, 2022. The decrease in net cash used in investing activities was primarily due to a decrease in purchases of property, plant and equipment.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2023, net cash provided by financing activities was $0.1 million. For the nine months ended December 31, 2022, net cash provided by financing activities was less than $0.1 million.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had $0.4 million of restricted cash included in long-term assets and $0.7 million of restricted cash included in current assets. At March 31, 2023, we had $0.6 million of restricted cash included in long-term assets and $1.7 million of restricted cash in current assets. These amounts included in restricted cash primarily represent collateral deposits to secure surety bonds and letters of credit for various customer contracts. These deposits are held in interest bearing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2023,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ind w:left="160" w:firstLine="486"/>
        <w:spacing w:after="0" w:line="254" w:lineRule="auto"/>
        <w:rPr>
          <w:sz w:val="20"/>
          <w:szCs w:val="20"/>
          <w:color w:val="auto"/>
        </w:rPr>
      </w:pPr>
      <w:r>
        <w:rPr>
          <w:rFonts w:ascii="Times New Roman" w:cs="Times New Roman" w:eastAsia="Times New Roman" w:hAnsi="Times New Roman"/>
          <w:sz w:val="18"/>
          <w:szCs w:val="18"/>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COVID-19 or other sources of instability, including the ongoing wars between Russia and Ukraine or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left="160" w:firstLine="648"/>
        <w:spacing w:after="0" w:line="257" w:lineRule="auto"/>
        <w:rPr>
          <w:sz w:val="20"/>
          <w:szCs w:val="20"/>
          <w:color w:val="auto"/>
        </w:rPr>
      </w:pPr>
      <w:r>
        <w:rPr>
          <w:rFonts w:ascii="Times New Roman" w:cs="Times New Roman" w:eastAsia="Times New Roman" w:hAnsi="Times New Roman"/>
          <w:sz w:val="18"/>
          <w:szCs w:val="18"/>
          <w:color w:val="auto"/>
        </w:rPr>
        <w:t>In June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Accounting Standards Board ("FASB") issued Accounting Standards Update ("ASU") </w:t>
      </w:r>
      <w:r>
        <w:rPr>
          <w:rFonts w:ascii="Times New Roman" w:cs="Times New Roman" w:eastAsia="Times New Roman" w:hAnsi="Times New Roman"/>
          <w:sz w:val="18"/>
          <w:szCs w:val="18"/>
          <w:i w:val="1"/>
          <w:iCs w:val="1"/>
          <w:color w:val="auto"/>
        </w:rPr>
        <w:t>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13,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Measurement of Credit Losses on Financial Instruments</w:t>
      </w:r>
      <w:r>
        <w:rPr>
          <w:rFonts w:ascii="Times New Roman" w:cs="Times New Roman" w:eastAsia="Times New Roman" w:hAnsi="Times New Roman"/>
          <w:sz w:val="18"/>
          <w:szCs w:val="18"/>
          <w:color w:val="auto"/>
        </w:rPr>
        <w:t>. The amendments in ASU 2016-13 will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about the expected credit losses on financial instruments and other commitments to extend credit held by a reporting entity at each reporting date. Following the release of ASU 2019-10 in November 2019, the effective date, as long as the Company remains a smaller reporting company, was annual reporting periods beginning after December 15, 2022. As of April 1, 2023, we have adopted ASU 2016-13 and noted no material impact on our condensed consolidated financial statements.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amendments in ASU 2021-08 will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Following the release of ASU 2021-08 in October 2021, the effective date was annual reporting periods beginning after December 15, 2022. As of April 1, 2023, we have adopted ASU 2021-08 and noted no material impact on our condensed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December 31, 2023, we are evaluating the impact on our condensed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December 31, 2023, we are evaluating the impact on our condensed consolidated financial statements.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outside of those disclosed here, there are any other recently issued accounting pronouncements that will have a material impact on our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of our Annual Report on Form 10-K for the fiscal year ended March 31, 2023, filed with the SEC on May 31, 2023.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 repurchase activity during the three months ended December 31,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 During the three months ended December 31, 2023, we did not repurchase shares in connection with our stock-based compensation plans.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160" w:firstLine="324"/>
        <w:spacing w:after="0" w:line="266" w:lineRule="auto"/>
        <w:rPr>
          <w:sz w:val="20"/>
          <w:szCs w:val="20"/>
          <w:color w:val="auto"/>
        </w:rPr>
      </w:pPr>
      <w:r>
        <w:rPr>
          <w:rFonts w:ascii="Times New Roman" w:cs="Times New Roman" w:eastAsia="Times New Roman" w:hAnsi="Times New Roman"/>
          <w:sz w:val="18"/>
          <w:szCs w:val="18"/>
          <w:color w:val="auto"/>
        </w:rPr>
        <w:t>On December 13, 2023, Daniel P. McGahn, Chairman, President and Chief Executive Officer, adopted a Rule 10b5-1 trading arrangement that is intended to satisfy the affirmative defense of Rule 10b5-1(c) for the sale of up to 57,724 shares of the Company’s common stock until the earlier of (i) June 28, 2024, or (ii) the date in which all shares under the trading arrangement are sold.</w:t>
      </w:r>
    </w:p>
    <w:p>
      <w:pPr>
        <w:spacing w:after="0" w:line="176" w:lineRule="exact"/>
        <w:rPr>
          <w:sz w:val="20"/>
          <w:szCs w:val="20"/>
          <w:color w:val="auto"/>
        </w:rPr>
      </w:pPr>
    </w:p>
    <w:p>
      <w:pPr>
        <w:jc w:val="both"/>
        <w:ind w:left="160" w:firstLine="324"/>
        <w:spacing w:after="0" w:line="276" w:lineRule="auto"/>
        <w:rPr>
          <w:sz w:val="20"/>
          <w:szCs w:val="20"/>
          <w:color w:val="auto"/>
        </w:rPr>
      </w:pPr>
      <w:r>
        <w:rPr>
          <w:rFonts w:ascii="Times New Roman" w:cs="Times New Roman" w:eastAsia="Times New Roman" w:hAnsi="Times New Roman"/>
          <w:sz w:val="17"/>
          <w:szCs w:val="17"/>
          <w:color w:val="auto"/>
        </w:rPr>
        <w:t>On December 6, 2023, John W. Kosiba, Jr., Senior Vice President, Chief Financial Officer and Treasurer, adopted a Rule 10b5-1 trading arrangement that is intended to satisfy the affirmative defense of Rule 10b5-1(c) for the sale of up to 61,000 shares of the Company’s common stock until the earlier of</w:t>
      </w:r>
    </w:p>
    <w:p>
      <w:pPr>
        <w:spacing w:after="0" w:line="1" w:lineRule="exact"/>
        <w:rPr>
          <w:sz w:val="20"/>
          <w:szCs w:val="20"/>
          <w:color w:val="auto"/>
        </w:rPr>
      </w:pPr>
    </w:p>
    <w:p>
      <w:pPr>
        <w:ind w:left="5540" w:right="4500" w:hanging="5388"/>
        <w:spacing w:after="0" w:line="511" w:lineRule="auto"/>
        <w:tabs>
          <w:tab w:leader="none" w:pos="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28, 2024, or (ii) the date in which all shares under the trading arrangement are sold.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6240" w:type="dxa"/>
            <w:vAlign w:val="bottom"/>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20" w:type="dxa"/>
            <w:vAlign w:val="bottom"/>
            <w:gridSpan w:val="10"/>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238"/>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1"/>
          </w:tcPr>
          <w:p>
            <w:pPr>
              <w:ind w:left="17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Form   File No.  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auto"/>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Officer—Certification pursuant to Rule 13a-14(a) or</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Chief Financial Officer—Certification pursuant to Rule 13a-14(a) or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Chief Executive Officer—Certification pursuant to Rule13a-14(b) or</w:t>
            </w:r>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 Rule 13a-14(b) or</w:t>
            </w:r>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Attached as Exhibits 101 to this report are the following formatted in inline XBRL (Extensible Business Reporting Language): (i) Condensed Consolidated Balance Sheets as of December 31, 2023 and March 31, 2023 (ii) Condensed Statements of Operations for the three and nine months ended December 31, 2023 and 2022, (iii) Condensed Consolidated Statements of Comprehensive Loss for the three and nine months ended December 31, 2023 and 2022,</w:t>
      </w:r>
    </w:p>
    <w:p>
      <w:pPr>
        <w:spacing w:after="0" w:line="1" w:lineRule="exact"/>
        <w:rPr>
          <w:sz w:val="20"/>
          <w:szCs w:val="20"/>
          <w:color w:val="auto"/>
        </w:rPr>
      </w:pPr>
    </w:p>
    <w:p>
      <w:pPr>
        <w:ind w:right="20" w:firstLine="8"/>
        <w:spacing w:after="0" w:line="260" w:lineRule="auto"/>
        <w:tabs>
          <w:tab w:leader="none" w:pos="3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nine months ended December 31, 2023 and 2022, and (v) Notes to Condensed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 John W. Kosiba, Jr.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7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January 24, 2024</w:t>
            </w: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234"/>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57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207"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January 24, 2024</w:t>
            </w:r>
          </w:p>
        </w:tc>
        <w:tc>
          <w:tcPr>
            <w:tcW w:w="3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b w:val="1"/>
                <w:bCs w:val="1"/>
                <w:color w:val="auto"/>
                <w:w w:val="98"/>
              </w:rPr>
              <w:t>Daniel P. McGahn</w:t>
            </w:r>
          </w:p>
        </w:tc>
      </w:tr>
      <w:tr>
        <w:trPr>
          <w:trHeight w:val="191"/>
        </w:trPr>
        <w:tc>
          <w:tcPr>
            <w:tcW w:w="4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w w:val="98"/>
              </w:rPr>
              <w:t>Daniel P. McGahn</w:t>
            </w:r>
          </w:p>
        </w:tc>
      </w:tr>
      <w:tr>
        <w:trPr>
          <w:trHeight w:val="234"/>
        </w:trPr>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700" w:val="left"/>
          <w:tab w:leader="none" w:pos="672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24, 2024</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December 31, 2023,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24, 2024</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December 31, 2023,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24, 2024</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Roman"/>
      <w:start w:val="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2024-01-24T15:18:13Z</dcterms:created>
  <dcterms:modified xsi:type="dcterms:W3CDTF">2024-01-24T15:18:13Z</dcterms:modified>
</cp:coreProperties>
</file>