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22"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4"/>
          </w:tcPr>
          <w:p>
            <w:pPr>
              <w:jc w:val="center"/>
              <w:ind w:right="230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2190"/>
              <w:spacing w:after="0"/>
              <w:rPr>
                <w:sz w:val="20"/>
                <w:szCs w:val="20"/>
                <w:color w:val="auto"/>
              </w:rPr>
            </w:pPr>
            <w:r>
              <w:rPr>
                <w:rFonts w:ascii="Arial" w:cs="Arial" w:eastAsia="Arial" w:hAnsi="Arial"/>
                <w:sz w:val="18"/>
                <w:szCs w:val="18"/>
                <w:b w:val="1"/>
                <w:bCs w:val="1"/>
                <w:color w:val="auto"/>
              </w:rPr>
              <w:t>04-2959321</w:t>
            </w:r>
          </w:p>
        </w:tc>
      </w:tr>
      <w:tr>
        <w:trPr>
          <w:trHeight w:val="205"/>
        </w:trPr>
        <w:tc>
          <w:tcPr>
            <w:tcW w:w="542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1"/>
              </w:rPr>
              <w:t>(State or other jurisdiction of</w:t>
            </w:r>
          </w:p>
        </w:tc>
        <w:tc>
          <w:tcPr>
            <w:tcW w:w="58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650"/>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740" w:type="dxa"/>
            <w:vAlign w:val="bottom"/>
            <w:gridSpan w:val="4"/>
          </w:tcPr>
          <w:p>
            <w:pPr>
              <w:jc w:val="center"/>
              <w:ind w:right="2300"/>
              <w:spacing w:after="0"/>
              <w:rPr>
                <w:sz w:val="20"/>
                <w:szCs w:val="20"/>
                <w:color w:val="auto"/>
              </w:rPr>
            </w:pPr>
            <w:r>
              <w:rPr>
                <w:rFonts w:ascii="Arial" w:cs="Arial" w:eastAsia="Arial" w:hAnsi="Arial"/>
                <w:sz w:val="18"/>
                <w:szCs w:val="18"/>
                <w:b w:val="1"/>
                <w:bCs w:val="1"/>
                <w:color w:val="auto"/>
                <w:w w:val="91"/>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7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87"/>
              </w:rPr>
              <w:t>64 Jackson Road, Devens, Massachusetts</w:t>
            </w:r>
          </w:p>
        </w:tc>
        <w:tc>
          <w:tcPr>
            <w:tcW w:w="3680" w:type="dxa"/>
            <w:vAlign w:val="bottom"/>
          </w:tcPr>
          <w:p>
            <w:pPr>
              <w:jc w:val="right"/>
              <w:ind w:right="2390"/>
              <w:spacing w:after="0"/>
              <w:rPr>
                <w:sz w:val="20"/>
                <w:szCs w:val="20"/>
                <w:color w:val="auto"/>
              </w:rPr>
            </w:pPr>
            <w:r>
              <w:rPr>
                <w:rFonts w:ascii="Arial" w:cs="Arial" w:eastAsia="Arial" w:hAnsi="Arial"/>
                <w:sz w:val="18"/>
                <w:szCs w:val="18"/>
                <w:b w:val="1"/>
                <w:bCs w:val="1"/>
                <w:color w:val="auto"/>
              </w:rPr>
              <w:t>01434</w:t>
            </w:r>
          </w:p>
        </w:tc>
      </w:tr>
      <w:tr>
        <w:trPr>
          <w:trHeight w:val="228"/>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58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center"/>
              <w:ind w:right="1670"/>
              <w:spacing w:after="0"/>
              <w:rPr>
                <w:sz w:val="20"/>
                <w:szCs w:val="20"/>
                <w:color w:val="auto"/>
              </w:rPr>
            </w:pPr>
            <w:r>
              <w:rPr>
                <w:rFonts w:ascii="Arial" w:cs="Arial" w:eastAsia="Arial" w:hAnsi="Arial"/>
                <w:sz w:val="18"/>
                <w:szCs w:val="18"/>
                <w:b w:val="1"/>
                <w:bCs w:val="1"/>
                <w:color w:val="auto"/>
                <w:w w:val="94"/>
              </w:rPr>
              <w:t>(Zip Code)</w:t>
            </w:r>
          </w:p>
        </w:tc>
      </w:tr>
      <w:tr>
        <w:trPr>
          <w:trHeight w:val="427"/>
        </w:trPr>
        <w:tc>
          <w:tcPr>
            <w:tcW w:w="7740" w:type="dxa"/>
            <w:vAlign w:val="bottom"/>
            <w:gridSpan w:val="4"/>
          </w:tcPr>
          <w:p>
            <w:pPr>
              <w:jc w:val="right"/>
              <w:ind w:right="1460"/>
              <w:spacing w:after="0"/>
              <w:rPr>
                <w:sz w:val="20"/>
                <w:szCs w:val="20"/>
                <w:color w:val="auto"/>
              </w:rPr>
            </w:pPr>
            <w:r>
              <w:rPr>
                <w:rFonts w:ascii="Arial" w:cs="Arial" w:eastAsia="Arial" w:hAnsi="Arial"/>
                <w:sz w:val="18"/>
                <w:szCs w:val="18"/>
                <w:b w:val="1"/>
                <w:bCs w:val="1"/>
                <w:color w:val="auto"/>
              </w:rPr>
              <w:t>(978) 842-3000</w:t>
            </w:r>
          </w:p>
        </w:tc>
        <w:tc>
          <w:tcPr>
            <w:tcW w:w="3680" w:type="dxa"/>
            <w:vAlign w:val="bottom"/>
          </w:tcPr>
          <w:p>
            <w:pPr>
              <w:spacing w:after="0"/>
              <w:rPr>
                <w:sz w:val="24"/>
                <w:szCs w:val="24"/>
                <w:color w:val="auto"/>
              </w:rPr>
            </w:pPr>
          </w:p>
        </w:tc>
      </w:tr>
      <w:tr>
        <w:trPr>
          <w:trHeight w:val="228"/>
        </w:trPr>
        <w:tc>
          <w:tcPr>
            <w:tcW w:w="3680" w:type="dxa"/>
            <w:vAlign w:val="bottom"/>
          </w:tcPr>
          <w:p>
            <w:pPr>
              <w:spacing w:after="0"/>
              <w:rPr>
                <w:sz w:val="19"/>
                <w:szCs w:val="19"/>
                <w:color w:val="auto"/>
              </w:rPr>
            </w:pPr>
          </w:p>
        </w:tc>
        <w:tc>
          <w:tcPr>
            <w:tcW w:w="40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68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-130810</wp:posOffset>
            </wp:positionV>
            <wp:extent cx="4022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ind w:left="240"/>
        <w:spacing w:after="0" w:line="196" w:lineRule="exact"/>
        <w:tabs>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51,421,143</w:t>
            </w:r>
          </w:p>
        </w:tc>
      </w:tr>
      <w:tr>
        <w:trPr>
          <w:trHeight w:val="228"/>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 as of November 1, 2011</w:t>
            </w:r>
          </w:p>
        </w:tc>
      </w:tr>
      <w:tr>
        <w:trPr>
          <w:trHeight w:val="198"/>
        </w:trPr>
        <w:tc>
          <w:tcPr>
            <w:tcW w:w="5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200" w:type="dxa"/>
            <w:vAlign w:val="bottom"/>
            <w:gridSpan w:val="23"/>
            <w:vMerge w:val="continue"/>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040" w:type="dxa"/>
            <w:vAlign w:val="bottom"/>
            <w:gridSpan w:val="9"/>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 as of September 30, 2011 and March 31,2011</w:t>
              </w:r>
            </w:hyperlink>
          </w:p>
        </w:tc>
        <w:tc>
          <w:tcPr>
            <w:tcW w:w="2940" w:type="dxa"/>
            <w:vAlign w:val="bottom"/>
            <w:gridSpan w:val="4"/>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Consolidated Statements of Operations for the three and six months ended September 30, 2011 and 2010</w:t>
              </w:r>
            </w:hyperlink>
          </w:p>
        </w:tc>
        <w:tc>
          <w:tcPr>
            <w:tcW w:w="800" w:type="dxa"/>
            <w:vAlign w:val="bottom"/>
            <w:gridSpan w:val="2"/>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Comprehensive (Loss) Income for the three and six months ended September 30,</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2011 and 2010</w:t>
              </w:r>
            </w:hyperlink>
          </w:p>
        </w:tc>
        <w:tc>
          <w:tcPr>
            <w:tcW w:w="8720" w:type="dxa"/>
            <w:vAlign w:val="bottom"/>
            <w:gridSpan w:val="15"/>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six months ended September 30, 2011 and 2010</w:t>
              </w:r>
            </w:hyperlink>
          </w:p>
        </w:tc>
        <w:tc>
          <w:tcPr>
            <w:tcW w:w="1460" w:type="dxa"/>
            <w:vAlign w:val="bottom"/>
            <w:gridSpan w:val="3"/>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5200" w:type="dxa"/>
            <w:vAlign w:val="bottom"/>
            <w:gridSpan w:val="6"/>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020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80" w:type="dxa"/>
            <w:vAlign w:val="bottom"/>
            <w:gridSpan w:val="5"/>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1800" w:type="dxa"/>
            <w:vAlign w:val="bottom"/>
            <w:tcBorders>
              <w:bottom w:val="single" w:sz="8" w:color="0000EE"/>
            </w:tcBorders>
            <w:gridSpan w:val="8"/>
          </w:tcPr>
          <w:p>
            <w:pPr>
              <w:ind w:left="20"/>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7860" w:type="dxa"/>
            <w:vAlign w:val="bottom"/>
            <w:gridSpan w:val="11"/>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0200" w:type="dxa"/>
            <w:vAlign w:val="bottom"/>
            <w:gridSpan w:val="2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II—OTHER INFORMATION</w:t>
              </w:r>
            </w:hyperlink>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960" w:type="dxa"/>
            <w:vAlign w:val="bottom"/>
            <w:tcBorders>
              <w:top w:val="single" w:sz="8" w:color="0000EE"/>
            </w:tcBorders>
            <w:gridSpan w:val="3"/>
          </w:tcPr>
          <w:p>
            <w:pPr>
              <w:spacing w:after="0"/>
              <w:rPr>
                <w:sz w:val="24"/>
                <w:szCs w:val="24"/>
                <w:color w:val="auto"/>
              </w:rPr>
            </w:pPr>
          </w:p>
        </w:tc>
        <w:tc>
          <w:tcPr>
            <w:tcW w:w="7340" w:type="dxa"/>
            <w:vAlign w:val="bottom"/>
            <w:gridSpan w:val="10"/>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8600" w:type="dxa"/>
            <w:vAlign w:val="bottom"/>
            <w:gridSpan w:val="14"/>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43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280" w:type="dxa"/>
            <w:vAlign w:val="bottom"/>
            <w:gridSpan w:val="8"/>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9660" w:type="dxa"/>
            <w:vAlign w:val="bottom"/>
            <w:gridSpan w:val="19"/>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040" w:type="dxa"/>
            <w:vAlign w:val="bottom"/>
            <w:gridSpan w:val="16"/>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EX-10.1</w:t>
            </w:r>
          </w:p>
        </w:tc>
        <w:tc>
          <w:tcPr>
            <w:tcW w:w="954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5,378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31,284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8,261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325,728</w:t>
            </w:r>
          </w:p>
        </w:tc>
        <w:tc>
          <w:tcPr>
            <w:tcW w:w="3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59,609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Adverse purchase commitments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34,456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145,180</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1,904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148,354</w:t>
            </w:r>
          </w:p>
        </w:tc>
        <w:tc>
          <w:tcPr>
            <w:tcW w:w="0" w:type="dxa"/>
            <w:vAlign w:val="bottom"/>
          </w:tcPr>
          <w:p>
            <w:pPr>
              <w:spacing w:after="0"/>
              <w:rPr>
                <w:sz w:val="1"/>
                <w:szCs w:val="1"/>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891,845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(686,561)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(597,173)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292,855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325,728</w:t>
            </w:r>
          </w:p>
        </w:tc>
        <w:tc>
          <w:tcPr>
            <w:tcW w:w="3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98,073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195,283</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59,416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7,857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15,411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17,346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Write-off of advance payment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20,551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20,551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acquisition related intangibles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Restructuring and impairments</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 and 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84,993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119,309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166,123</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(51,125)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13,080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(89,451)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(50,768)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15,719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(88,288)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7,880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15,137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(51,709)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(89,388)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50,876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45,482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50,716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46,217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(51,709)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7,839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(89,388)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17,008</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(losses) gains</w:t>
            </w:r>
          </w:p>
        </w:tc>
        <w:tc>
          <w:tcPr>
            <w:tcW w:w="2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16,506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Unrealized gains on cash flow hedges</w:t>
            </w:r>
          </w:p>
        </w:tc>
        <w:tc>
          <w:tcPr>
            <w:tcW w:w="14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1,463</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 investments</w:t>
            </w:r>
          </w:p>
        </w:tc>
        <w:tc>
          <w:tcPr>
            <w:tcW w:w="2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 net of tax</w:t>
            </w:r>
          </w:p>
        </w:tc>
        <w:tc>
          <w:tcPr>
            <w:tcW w:w="14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17,936</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(53,971)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25,775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(90,506)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22,443</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(89,388)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income to net cash used in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Provision for excess and obsolete inventory</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Adverse purchase commitment losses,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Write-off of advance payment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Write-off of prepaid value added taxes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 and liability accounts: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(12,529)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(106,896)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111,070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Purchase of minority investments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 for previously planned acquisition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other assets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(37,295)</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in lieu of issuance of common stock for payroll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Proceeds from exercise of employee stock options and ESPP</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123,783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93,511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52,615</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18,147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issuance of common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21"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American Superconductor Corporation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 based products. The Company’s wind and power grid products and services provide exceptional reliability, security, efficiency and affordability to its customers.</w:t>
      </w:r>
    </w:p>
    <w:p>
      <w:pPr>
        <w:spacing w:after="0" w:line="85"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September 30, 2011 and 2010 and the financial position at September 30, 2011. The unaudited condensed consolidated financial statements include the accounts of the Company and its wholly-owned subsidiaries. All significant intercompany balances and transactions are eliminated in consolidation. Certain reclassifications of prior year amounts have been made to conform to current year presentation. These reclassifications had no effect on net income, cash flows from operating activities or stockholders’ equity.</w:t>
      </w:r>
    </w:p>
    <w:p>
      <w:pPr>
        <w:spacing w:after="0" w:line="59"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The Company operates its business in two market-facing business units: Wind and Grid. The Company believes this market-centric structure enables it to effectively anticipate and meet the needs of wind turbine manufacturers, power generation project developers and electric utilities.</w:t>
      </w:r>
    </w:p>
    <w:p>
      <w:pPr>
        <w:spacing w:after="0" w:line="38" w:lineRule="exact"/>
        <w:rPr>
          <w:sz w:val="20"/>
          <w:szCs w:val="20"/>
          <w:color w:val="auto"/>
        </w:rPr>
      </w:pPr>
    </w:p>
    <w:p>
      <w:pPr>
        <w:ind w:left="1000" w:right="40" w:hanging="317"/>
        <w:spacing w:after="0" w:line="272" w:lineRule="auto"/>
        <w:tabs>
          <w:tab w:leader="none" w:pos="1000" w:val="left"/>
        </w:tabs>
        <w:numPr>
          <w:ilvl w:val="0"/>
          <w:numId w:val="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its Windtec Solutions, the Wind business segment enables manufacturers to field wind turbines with exceptional power output,</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83" w:lineRule="exact"/>
        <w:rPr>
          <w:rFonts w:ascii="Arial" w:cs="Arial" w:eastAsia="Arial" w:hAnsi="Arial"/>
          <w:sz w:val="17"/>
          <w:szCs w:val="17"/>
          <w:b w:val="1"/>
          <w:bCs w:val="1"/>
          <w:color w:val="auto"/>
        </w:rPr>
      </w:pPr>
    </w:p>
    <w:p>
      <w:pPr>
        <w:ind w:left="1000" w:right="120" w:hanging="317"/>
        <w:spacing w:after="0" w:line="257"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its Gridtec Solutions, the Grid business segment enables electric utilities and renewable energy project developers to connect,</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 and distribute power with exceptional efficiency, reliability and affordability. The Company provides transmission planning services that allows it to identify power grid congestion, poor power quality and other risks, which helps it determine how its solutions can improve network performance. These services often lead to sales of grid interconnection solutions for wind farms and solar power plants, power quality systems and transmission and distribution cable systems.</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On March 12, 2011, the Company entered into a Share Purchase Agreement, by and among the Company and the shareholders of The Switch Engineering Oy, a power technologies company headquartered in Finland (“The Switch”), which was amended on June 29, 2011 (as amended, the “Agreement”). Pursuant to the Agreement, the Company agreed to acquire all of the outstanding shares of The Switch. On October 28, 2011, the Company and The Switch entered into a termination agreement pursuant to which the parties mutually agreed to terminate the Agreement due to adverse market conditions for a financing required to fund the acquisition. Under the termination agreement, The Switch retained a $20.6 million advance payment as a break-up fee. As a result, the Company recorded a write-off of the advance payment during the three months ended September 30, 2011.</w:t>
      </w:r>
    </w:p>
    <w:p>
      <w:pPr>
        <w:spacing w:after="0" w:line="57"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At September 30, 2011, the Company had cash, cash equivalents, marketable securities and restricted cash of $108.3 million. The Company’s business plan anticipates a substantial decline in revenues and a substantial use of cash from operations in its fiscal year ending March 31, 2012, particularly in light of the difficult and uncertain current economic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environment, particularly in China, the significant restructuring actions undertaken and the slowdown in the Chinese wind power market, which has accounted for more than two-thirds of the Company’s revenues in recent fiscal years. The Company’s plan includes a significant restructuring undertaken in August 2011, resulting in the elimination of approximately 150 positions worldwide. Since April 1, 2011, the Company has eliminated approximately 30% of its workforce and it expects to reduce annualized expenses by $30 million annually as a result of these reductions. The Company plans to continue to closely monitor its expenses and if required, will further reduce operating costs and capital spending to enhance liquidity. The Company believes that its available cash, together with additional reductions in operating costs and capital expenditures as necessary will be sufficient to fund its operations, capital expenditures and other cash requirements for at least the next twelve months. The Company’s long-term liquidity is dependent on its ability to profitably grow its revenues or raise additional capital as required. If necessary, the Company may seek financing through public or private equity offerings, debt financings, or other financing alternatives. However, there can be no assurance that financing will be available on acceptable terms or at all.</w:t>
      </w:r>
    </w:p>
    <w:p>
      <w:pPr>
        <w:spacing w:after="0" w:line="5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2011 (fiscal 2010) which are contained in the Company’s Annual Report on Form 10-K.</w:t>
      </w:r>
    </w:p>
    <w:p>
      <w:pPr>
        <w:spacing w:after="0" w:line="73"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Company’s fiscal year begins on April 1 and ends on March 31. This document refers to fiscal 2011, which is defined as the period beginning on April 1, 2011 and concluding on March 31, 2012. The second quarter of fiscal 2011 began on July 1, 2011 and concluded on September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months ended September 30, 2011 and 2010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During the six months ended September 30, 2011, the Company granted approximately 785,000 and 387,000 shares of stock options and restricted stock, respectively, to employees under the 2007 Stock Incentive Plan. The restricted stock granted during the six months ended September 30, 2011 includes approximately 100,000 shares of performance-based restricted stock, which will vest upon achievement of certain financial performance measurements. The Company recognizes the fair value of the performance based awards over the estimated period of each award for which the achievement of the performance measures are probable to occur. The remaining shares granted vest upon the passage of time, generally three years. For awards that vest upon the passage of time, expense is being recorded over the vesting period.</w:t>
      </w:r>
    </w:p>
    <w:p>
      <w:pPr>
        <w:spacing w:after="0" w:line="70" w:lineRule="exact"/>
        <w:rPr>
          <w:sz w:val="20"/>
          <w:szCs w:val="20"/>
          <w:color w:val="auto"/>
        </w:rPr>
      </w:pPr>
    </w:p>
    <w:p>
      <w:pPr>
        <w:ind w:right="220" w:firstLine="222"/>
        <w:spacing w:after="0" w:line="302"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outstanding stock options was $9.5 million as of September 30, 2011. This expense will be recognized over a weighted average expense period of approximately 2.4 years. The total unrecognized compensation cost for unvested outstanding restricted stock was $5.2 million as of September 30, 2011. This expense will be recognized over a weighted average expense period of approximately 1.9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weighted-average assumptions used in the Black-Scholes valuation model for stock options granted during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1"/>
              </w:rPr>
              <w:t>Three months ended</w:t>
            </w: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None</w:t>
            </w: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None</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None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None</w:t>
            </w:r>
          </w:p>
        </w:tc>
      </w:tr>
    </w:tbl>
    <w:p>
      <w:pPr>
        <w:spacing w:after="0" w:line="79" w:lineRule="exact"/>
        <w:rPr>
          <w:sz w:val="20"/>
          <w:szCs w:val="20"/>
          <w:color w:val="auto"/>
        </w:rPr>
      </w:pPr>
    </w:p>
    <w:p>
      <w:pPr>
        <w:jc w:val="both"/>
        <w:ind w:right="600" w:firstLine="222"/>
        <w:spacing w:after="0" w:line="312"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3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conjunction with the departure of certain former executive officers, the Company agreed to modify certain vested awards by extending the period over which each former officer would be entitled to exercise stock options and accelerated the vesting of certain other outstanding awards. Accordingly, the Company recorded stock-based compensation expense related to these modifications of $0.3 million and $0.9 million in the three and six months ended September 30,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Computation of Net (Loss) Income per Common Share</w:t>
      </w:r>
    </w:p>
    <w:p>
      <w:pPr>
        <w:spacing w:after="0" w:line="121"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six months ended September 30, 2011 and 2010, common equivalent shares of 2.6 million shares and 1.3 million shares, respectively, and 2.6 million shares and 0.9 million shares, respectively, were not included in the calculation of diluted EPS as they were considered anti-dilutive.</w:t>
      </w:r>
    </w:p>
    <w:p>
      <w:pPr>
        <w:spacing w:after="0" w:line="7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six months ended September 30, 2011 and 2010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(51,709)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7,839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(89,388)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51,232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45,694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51,090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subject to repurchase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50,876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45,482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50,716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diluted</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50,876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46,217</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50,716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2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the three months ended September 30, 2011.</w:t>
      </w:r>
    </w:p>
    <w:p>
      <w:pPr>
        <w:spacing w:after="0" w:line="81"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p>
      <w:pPr>
        <w:ind w:left="920" w:right="86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left="920" w:right="20" w:hanging="917"/>
        <w:spacing w:after="0" w:line="264" w:lineRule="auto"/>
        <w:tabs>
          <w:tab w:leader="none" w:pos="9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81" w:lineRule="exact"/>
        <w:rPr>
          <w:sz w:val="20"/>
          <w:szCs w:val="20"/>
          <w:color w:val="auto"/>
        </w:rPr>
      </w:pPr>
    </w:p>
    <w:p>
      <w:pPr>
        <w:ind w:left="920" w:right="30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66" w:lineRule="exact"/>
        <w:rPr>
          <w:sz w:val="20"/>
          <w:szCs w:val="20"/>
          <w:color w:val="auto"/>
        </w:rPr>
      </w:pPr>
    </w:p>
    <w:p>
      <w:pPr>
        <w:ind w:right="720" w:firstLine="215"/>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the assets carried at fair value, measured as of September 30, 2011 and March 31, 2011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Total</w:t>
            </w: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Quoted Prices in</w:t>
            </w:r>
          </w:p>
        </w:tc>
        <w:tc>
          <w:tcPr>
            <w:tcW w:w="420" w:type="dxa"/>
            <w:vAlign w:val="bottom"/>
          </w:tcPr>
          <w:p>
            <w:pPr>
              <w:spacing w:after="0"/>
              <w:rPr>
                <w:sz w:val="14"/>
                <w:szCs w:val="14"/>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Using Significant 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442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rPr>
              <w:t>Carrying</w:t>
            </w:r>
          </w:p>
        </w:tc>
        <w:tc>
          <w:tcPr>
            <w:tcW w:w="14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r>
      <w:tr>
        <w:trPr>
          <w:trHeight w:val="171"/>
        </w:trPr>
        <w:tc>
          <w:tcPr>
            <w:tcW w:w="442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$ 58,360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Short-term commercial paper</w:t>
            </w:r>
          </w:p>
        </w:tc>
        <w:tc>
          <w:tcPr>
            <w:tcW w:w="660" w:type="dxa"/>
            <w:vAlign w:val="bottom"/>
          </w:tcPr>
          <w:p>
            <w:pPr>
              <w:jc w:val="right"/>
              <w:spacing w:after="0"/>
              <w:rPr>
                <w:sz w:val="20"/>
                <w:szCs w:val="20"/>
                <w:color w:val="auto"/>
              </w:rPr>
            </w:pPr>
            <w:r>
              <w:rPr>
                <w:rFonts w:ascii="Arial" w:cs="Arial" w:eastAsia="Arial" w:hAnsi="Arial"/>
                <w:sz w:val="18"/>
                <w:szCs w:val="18"/>
                <w:color w:val="auto"/>
              </w:rPr>
              <w:t>5,378</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28"/>
        </w:trPr>
        <w:tc>
          <w:tcPr>
            <w:tcW w:w="4420" w:type="dxa"/>
            <w:vAlign w:val="bottom"/>
          </w:tcPr>
          <w:p>
            <w:pPr>
              <w:spacing w:after="0"/>
              <w:rPr>
                <w:sz w:val="24"/>
                <w:szCs w:val="2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Total</w:t>
            </w: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Quoted Prices in</w:t>
            </w:r>
          </w:p>
        </w:tc>
        <w:tc>
          <w:tcPr>
            <w:tcW w:w="420" w:type="dxa"/>
            <w:vAlign w:val="bottom"/>
          </w:tcPr>
          <w:p>
            <w:pPr>
              <w:spacing w:after="0"/>
              <w:rPr>
                <w:sz w:val="24"/>
                <w:szCs w:val="24"/>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Using Significant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442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rPr>
              <w:t>Carrying</w:t>
            </w:r>
          </w:p>
        </w:tc>
        <w:tc>
          <w:tcPr>
            <w:tcW w:w="14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r>
      <w:tr>
        <w:trPr>
          <w:trHeight w:val="171"/>
        </w:trPr>
        <w:tc>
          <w:tcPr>
            <w:tcW w:w="442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$ 49,837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Short-term government-backed securities</w:t>
            </w: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76,371</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76,371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Short-term commercial paper</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39,755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Derivatives</w:t>
            </w:r>
          </w:p>
        </w:tc>
        <w:tc>
          <w:tcPr>
            <w:tcW w:w="660" w:type="dxa"/>
            <w:vAlign w:val="bottom"/>
          </w:tcPr>
          <w:p>
            <w:pPr>
              <w:jc w:val="right"/>
              <w:spacing w:after="0"/>
              <w:rPr>
                <w:sz w:val="20"/>
                <w:szCs w:val="20"/>
                <w:color w:val="auto"/>
              </w:rPr>
            </w:pPr>
            <w:r>
              <w:rPr>
                <w:rFonts w:ascii="Arial" w:cs="Arial" w:eastAsia="Arial" w:hAnsi="Arial"/>
                <w:sz w:val="18"/>
                <w:szCs w:val="18"/>
                <w:color w:val="auto"/>
              </w:rPr>
              <w:t>3,087</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3,087</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derivatives entered into by the Company are valued using over-the-counter quoted market prices for similar instruments, and are classified within Level 2 of the valuation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10,938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3,054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5,004</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15,259</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Company records bank acceptance notes receivable arranged with third-party financial institutions by certain customers to settle their transactions within prepaid expenses and other current assets. These notes are typically non-interest bearing and generally have maturities of less than six months. The carrying amount of notes receivable approximate their fair values. The Company had notes receivable outstanding of $2.4 million and $2.0 million as of September 30, 2011 and March 31,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inventory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Work-in-process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r>
      <w:tr>
        <w:trPr>
          <w:trHeight w:val="27"/>
        </w:trPr>
        <w:tc>
          <w:tcPr>
            <w:tcW w:w="53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inventory</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25,828</w:t>
            </w:r>
          </w:p>
        </w:tc>
      </w:tr>
      <w:tr>
        <w:trPr>
          <w:trHeight w:val="20"/>
        </w:trPr>
        <w:tc>
          <w:tcPr>
            <w:tcW w:w="5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recorded inventory writedowns of approximately $1.1 million and $1.5 million in the three and six months ended September 30, 2011.</w:t>
      </w:r>
    </w:p>
    <w:p>
      <w:pPr>
        <w:spacing w:after="0" w:line="129" w:lineRule="exact"/>
        <w:rPr>
          <w:sz w:val="20"/>
          <w:szCs w:val="20"/>
          <w:color w:val="auto"/>
        </w:rPr>
      </w:pPr>
    </w:p>
    <w:p>
      <w:pPr>
        <w:jc w:val="both"/>
        <w:ind w:right="640" w:firstLine="225"/>
        <w:spacing w:after="0" w:line="264" w:lineRule="auto"/>
        <w:rPr>
          <w:sz w:val="20"/>
          <w:szCs w:val="20"/>
          <w:color w:val="auto"/>
        </w:rPr>
      </w:pPr>
      <w:r>
        <w:rPr>
          <w:rFonts w:ascii="Arial" w:cs="Arial" w:eastAsia="Arial" w:hAnsi="Arial"/>
          <w:sz w:val="18"/>
          <w:szCs w:val="18"/>
          <w:color w:val="auto"/>
        </w:rPr>
        <w:t>Deferred program costs as of September 30, 2011 and March 31 2011 primarily represent costs incurred on D-VAR turnkey projects and programs accounted for under contract accounting where the Company needs to complete development programs before revenue and costs will be recognized,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Warranty</w:t>
      </w:r>
    </w:p>
    <w:p>
      <w:pPr>
        <w:spacing w:after="0" w:line="12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Company generally provides a one to three-year warranty on its products, commencing upon installation. A provision is recorded upon revenue recognition to cost of revenues for estimated warranty expense based on historical experience.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warranty activity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Change in accruals for warranties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4,332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(3,389)</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includes warranty period expirations as changes in accruals for warranties in the table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The Company recorded income tax expense of $0.9 million and $1.1 million for the three and six months ended September 30, 2011, respectively, and $7.9 million and $15.1 million for the three and six months ended September 30, 2010, respectively. The Company has provided a valuation allowance against all net deferred tax assets as of September 30, 2011, as it is more likely than not that its net deferred tax assets are not currently realizable due to the net operating losses incurred by the Company since its inception in the U.S. and the significant write-offs in the fiscal year ended March 31, 2011 and the losses that are forecasted in certain foreign jurisdictions in the future.</w:t>
      </w:r>
    </w:p>
    <w:p>
      <w:pPr>
        <w:spacing w:after="0" w:line="8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During the three months ended September 30, 2011, the Company recorded additional income tax expense of $0.7 million for uncertain tax positions related to its Austrian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and Impairments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to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8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initiated a restructuring plan in August 2011 (the “2011 Plan”) to reorganize global operations, streamline various functions of the business, and reduce its global workforce to better reflect the demand for its products. The 2011 Plan resulted in a headcount reduction of approximately 150 employees. From April 1, 2011 through the date of this filing, the Company has reduced its global workforce by approximately 30%, which is expected to reduce expenses by approximately $30 million annually. During the three months ended September 30, 2011, the Company incurred costs associated with the workforce reduction which include employee separation costs consisting of severance pay, outplacement services, medical benefits, and other related benefits for the Company’s workforce. As a result, the Company recorded employee severance and benefit costs of $3.3 million. These charges are expected to be paid through fiscal 2012.</w:t>
      </w:r>
    </w:p>
    <w:p>
      <w:pPr>
        <w:spacing w:after="0" w:line="8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In addition, during the three months ended September 30, 2011, the Company consolidated certain of its business operations to reduce overall facility costs. The consolidation plan entailed vacating approximately 8,937 square feet of occupied space in Klagenfurt, Austria. This facility closure was accounted for in accordance with ASC 420, pursuant to which the Company recorded a liability equal to the fair value of the remaining lease payments as of the cease-use date. Fair value was determined based upon the discounted present value of remaining lease rentals (using a discount rate of 10.1%) for the space no longer occupied, considering future estimated potential sublease income. As a result, the Company recorded facility exit costs of $0.1 million related to the remaining lease commitment on the leased space. These charges are expected to be paid through fiscal 2012. All restructuring charges discussed above are included within restructuring and impairments in the Company’s unaudited condensed consolidated statements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restructuring charges and cash payments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Severance pay</w:t>
            </w:r>
          </w:p>
        </w:tc>
        <w:tc>
          <w:tcPr>
            <w:tcW w:w="40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95"/>
              </w:rPr>
              <w:t>Facility</w:t>
            </w:r>
          </w:p>
        </w:tc>
        <w:tc>
          <w:tcPr>
            <w:tcW w:w="480" w:type="dxa"/>
            <w:vAlign w:val="bottom"/>
          </w:tcPr>
          <w:p>
            <w:pPr>
              <w:spacing w:after="0"/>
              <w:rPr>
                <w:sz w:val="14"/>
                <w:szCs w:val="14"/>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w w:val="96"/>
              </w:rPr>
              <w:t>and benefits</w:t>
            </w:r>
          </w:p>
        </w:tc>
        <w:tc>
          <w:tcPr>
            <w:tcW w:w="132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rPr>
              <w:t>exit costs</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balance at April 1, 2011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Charges to operations</w:t>
            </w:r>
          </w:p>
        </w:tc>
        <w:tc>
          <w:tcPr>
            <w:tcW w:w="26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3,256</w:t>
            </w:r>
          </w:p>
        </w:tc>
        <w:tc>
          <w:tcPr>
            <w:tcW w:w="400" w:type="dxa"/>
            <w:vAlign w:val="bottom"/>
          </w:tcPr>
          <w:p>
            <w:pPr>
              <w:spacing w:after="0"/>
              <w:rPr>
                <w:sz w:val="18"/>
                <w:szCs w:val="18"/>
                <w:color w:val="auto"/>
              </w:rPr>
            </w:pP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Accrued restructuring balance at September 30, 2011</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2,047</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rPr>
              <w:t>127</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addition, the Company recorded impairment charges of $0.9 million on long-lived assets for which there is no remaining future economic benefit as of September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Any commitments for products ordered but not yet received is included as purchase commitments in its contractual obligations table. The Company periodically assesses the need to provide for impairment on these purchase contracts and record a loss on purchase commitments when required. As of September 30, 2011, the Company has $34.5 million of adverse purchase commitments in excess of its estimated future demand from certain of its customers in China, which the Company has recorded as a liability. The Company recorded adverse purchase commitment recoveries of $0.9 million and losses of $0.2 million during the three and six months ended September 30, 2011, respectively. Adverse purchase commitment recoveries in the three months ended September 30, 2011 are as a result of reductions in commitments to purchase materials due to renegotiations with certain suppliers and are recorded against cost of revenues.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64"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Between April 6, 2011 and April 29, 2011, six putative securities class action complaints were filed against the Company and two of its officers in the United States District Court for the District of Massachusetts. On May 12, 2011, an additional complaint was filed against the Company, its officers and directors, and the underwriters who participated in its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the Company, its officers and directors, and the underwriters who participated in its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its stock price. The complaint further alleges that the Company’s November 12, 2010 securities offering contained untrue statements of material facts and omitted to state material facts required to be stated therein. The plaintiffs seek unspecified damages, rescindment of its November 12, 2010 securities offering, and an award of costs and expenses, including attorney’s fees.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 xml:space="preserve">On April 27, 2011, a putative shareholder derivative complaint was filed against the Company (as a nominal defendant) and each of its current directors in Superior Court for the Commonwealth of Massachusetts, Worcester County. The case is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11-0787. Between May 4, 2011 and June 17, 2011, four additional putative shareholder derivative complaints were filed in the United States District Court for the District of Massachusetts against the Company and certain of the its directors and officers. The cases are captioned </w:t>
      </w:r>
      <w:r>
        <w:rPr>
          <w:rFonts w:ascii="Arial" w:cs="Arial" w:eastAsia="Arial" w:hAnsi="Arial"/>
          <w:sz w:val="16"/>
          <w:szCs w:val="16"/>
          <w:i w:val="1"/>
          <w:iCs w:val="1"/>
          <w:color w:val="auto"/>
        </w:rPr>
        <w:t>Weakley v. Yurek, et al.</w:t>
      </w:r>
      <w:r>
        <w:rPr>
          <w:rFonts w:ascii="Arial" w:cs="Arial" w:eastAsia="Arial" w:hAnsi="Arial"/>
          <w:sz w:val="16"/>
          <w:szCs w:val="16"/>
          <w:color w:val="auto"/>
        </w:rPr>
        <w:t xml:space="preserve">, Docket No. 1:11-cv-10784;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Docket No. 1:11-cv-10825;</w:t>
      </w:r>
      <w:r>
        <w:rPr>
          <w:rFonts w:ascii="Arial" w:cs="Arial" w:eastAsia="Arial" w:hAnsi="Arial"/>
          <w:sz w:val="16"/>
          <w:szCs w:val="16"/>
          <w:i w:val="1"/>
          <w:iCs w:val="1"/>
          <w:color w:val="auto"/>
        </w:rPr>
        <w:t xml:space="preserve"> Connors v. Yurek, et al.</w:t>
      </w:r>
      <w:r>
        <w:rPr>
          <w:rFonts w:ascii="Arial" w:cs="Arial" w:eastAsia="Arial" w:hAnsi="Arial"/>
          <w:sz w:val="16"/>
          <w:szCs w:val="16"/>
          <w:color w:val="auto"/>
        </w:rPr>
        <w:t>, Docket No. 1:11-cv-10910; and</w:t>
      </w:r>
      <w:r>
        <w:rPr>
          <w:rFonts w:ascii="Arial" w:cs="Arial" w:eastAsia="Arial" w:hAnsi="Arial"/>
          <w:sz w:val="16"/>
          <w:szCs w:val="16"/>
          <w:i w:val="1"/>
          <w:iCs w:val="1"/>
          <w:color w:val="auto"/>
        </w:rPr>
        <w:t xml:space="preserve"> Hurd v. Yurek, et al.</w:t>
      </w:r>
      <w:r>
        <w:rPr>
          <w:rFonts w:ascii="Arial" w:cs="Arial" w:eastAsia="Arial" w:hAnsi="Arial"/>
          <w:sz w:val="16"/>
          <w:szCs w:val="16"/>
          <w:color w:val="auto"/>
        </w:rPr>
        <w:t>, Docket No. 1:11-cv-11102. On June 1, 2011, the plaintiff in</w:t>
      </w:r>
      <w:r>
        <w:rPr>
          <w:rFonts w:ascii="Arial" w:cs="Arial" w:eastAsia="Arial" w:hAnsi="Arial"/>
          <w:sz w:val="16"/>
          <w:szCs w:val="16"/>
          <w:i w:val="1"/>
          <w:iCs w:val="1"/>
          <w:color w:val="auto"/>
        </w:rPr>
        <w:t xml:space="preserve"> Marlborough Family Revocable Trust v. Yurek, et al. </w:t>
      </w:r>
      <w:r>
        <w:rPr>
          <w:rFonts w:ascii="Arial" w:cs="Arial" w:eastAsia="Arial" w:hAnsi="Arial"/>
          <w:sz w:val="16"/>
          <w:szCs w:val="16"/>
          <w:color w:val="auto"/>
        </w:rPr>
        <w:t>moved to voluntarily dismiss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complaint and refiled its complaint in Superior Court for the Commonwealth of Massachusetts, Middlesex County, on June 3, 2011. The case is now captioned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Docket No. 11-1961. The Superior Court in Worcester County granted the plaintiff’s motion to transfer in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to the Superior Court for the Commonwealth of Massachusetts, Middlesex County on June 23, 2011, and that matter is now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11-2269. On July 5, 2011, the </w:t>
      </w:r>
      <w:r>
        <w:rPr>
          <w:rFonts w:ascii="Arial" w:cs="Arial" w:eastAsia="Arial" w:hAnsi="Arial"/>
          <w:sz w:val="16"/>
          <w:szCs w:val="16"/>
          <w:i w:val="1"/>
          <w:iCs w:val="1"/>
          <w:color w:val="auto"/>
        </w:rPr>
        <w:t>Weakley</w:t>
      </w:r>
      <w:r>
        <w:rPr>
          <w:rFonts w:ascii="Arial" w:cs="Arial" w:eastAsia="Arial" w:hAnsi="Arial"/>
          <w:sz w:val="16"/>
          <w:szCs w:val="16"/>
          <w:color w:val="auto"/>
        </w:rPr>
        <w:t xml:space="preserve">, </w:t>
      </w:r>
      <w:r>
        <w:rPr>
          <w:rFonts w:ascii="Arial" w:cs="Arial" w:eastAsia="Arial" w:hAnsi="Arial"/>
          <w:sz w:val="16"/>
          <w:szCs w:val="16"/>
          <w:i w:val="1"/>
          <w:iCs w:val="1"/>
          <w:color w:val="auto"/>
        </w:rPr>
        <w:t>Connors</w:t>
      </w:r>
      <w:r>
        <w:rPr>
          <w:rFonts w:ascii="Arial" w:cs="Arial" w:eastAsia="Arial" w:hAnsi="Arial"/>
          <w:sz w:val="16"/>
          <w:szCs w:val="16"/>
          <w:color w:val="auto"/>
        </w:rPr>
        <w:t xml:space="preserve"> and </w:t>
      </w:r>
      <w:r>
        <w:rPr>
          <w:rFonts w:ascii="Arial" w:cs="Arial" w:eastAsia="Arial" w:hAnsi="Arial"/>
          <w:sz w:val="16"/>
          <w:szCs w:val="16"/>
          <w:i w:val="1"/>
          <w:iCs w:val="1"/>
          <w:color w:val="auto"/>
        </w:rPr>
        <w:t>Hurd</w:t>
      </w:r>
      <w:r>
        <w:rPr>
          <w:rFonts w:ascii="Arial" w:cs="Arial" w:eastAsia="Arial" w:hAnsi="Arial"/>
          <w:sz w:val="16"/>
          <w:szCs w:val="16"/>
          <w:color w:val="auto"/>
        </w:rPr>
        <w:t xml:space="preserve"> actions were consolidated in United States District Court for the District of Massachusetts.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to the Superior Court for the Commonwealth of Massachusetts, Middlesex County on June 23, 2011.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and </w:t>
      </w:r>
      <w:r>
        <w:rPr>
          <w:rFonts w:ascii="Arial" w:cs="Arial" w:eastAsia="Arial" w:hAnsi="Arial"/>
          <w:sz w:val="16"/>
          <w:szCs w:val="16"/>
          <w:i w:val="1"/>
          <w:iCs w:val="1"/>
          <w:color w:val="auto"/>
        </w:rPr>
        <w:t>Segel</w:t>
      </w:r>
      <w:r>
        <w:rPr>
          <w:rFonts w:ascii="Arial" w:cs="Arial" w:eastAsia="Arial" w:hAnsi="Arial"/>
          <w:sz w:val="16"/>
          <w:szCs w:val="16"/>
          <w:color w:val="auto"/>
        </w:rPr>
        <w:t xml:space="preserve"> actions were consolidated in Superior Court for the Commonwealth of Massachusetts, Middlesex County. The case is now captioned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the Company, as well as an award of costs and expenses, including attorney’s fees.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If a matter is both probable to result in liability and the amounts of loss can be reasonably estimated, the Company estimates and discloses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70"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0693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(including interest) and monetary damages in the amount of approximately RMB 430 million ($67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6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On October 8, 2011, Sinovel filed with the Beijing Arbitration Commission an application under the caption </w:t>
      </w:r>
      <w:r>
        <w:rPr>
          <w:rFonts w:ascii="Arial" w:cs="Arial" w:eastAsia="Arial" w:hAnsi="Arial"/>
          <w:sz w:val="18"/>
          <w:szCs w:val="18"/>
          <w:i w:val="1"/>
          <w:iCs w:val="1"/>
          <w:color w:val="auto"/>
        </w:rPr>
        <w:t>(2011) Jin Zhong An Zi No. 0693,</w:t>
      </w:r>
      <w:r>
        <w:rPr>
          <w:rFonts w:ascii="Arial" w:cs="Arial" w:eastAsia="Arial" w:hAnsi="Arial"/>
          <w:sz w:val="18"/>
          <w:szCs w:val="18"/>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millon ($58 million). On October 17, 2011, Sinovel filed with the Beijing Arbitration Commission a request for change of counterclaim to increase its damage claim to approximately RMB 1 billion ($157 million). Deducting the RMB 430 million ($67 million) claimed by the Company, the net amount of damages claimed by Sinovel is approximately RMB 570 million ($89 million). The Company believes that Sinovel’s claims are without merit and it intends to defend these 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vigorously. Since the proceedings in this matter are in relatively early stages, the Company cannot reasonably estimate possible losses or range of losses at this time.</w:t>
      </w:r>
    </w:p>
    <w:p>
      <w:pPr>
        <w:spacing w:after="0" w:line="62"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 xml:space="preserve">The Company also submitted a civil action application to the Beijing No. 1 Intermediate People’s Court under the caption </w:t>
      </w:r>
      <w:r>
        <w:rPr>
          <w:rFonts w:ascii="Arial" w:cs="Arial" w:eastAsia="Arial" w:hAnsi="Arial"/>
          <w:sz w:val="17"/>
          <w:szCs w:val="17"/>
          <w:i w:val="1"/>
          <w:iCs w:val="1"/>
          <w:color w:val="auto"/>
        </w:rPr>
        <w:t>(2011) Yi Zhong Min Chu Zi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15524, </w:t>
      </w:r>
      <w:r>
        <w:rPr>
          <w:rFonts w:ascii="Arial" w:cs="Arial" w:eastAsia="Arial" w:hAnsi="Arial"/>
          <w:sz w:val="17"/>
          <w:szCs w:val="17"/>
          <w:color w:val="auto"/>
        </w:rPr>
        <w:t>against Sinovel for software copyright infringement on September 13, 2011. The application alleges Sinovel’s unauthorized use of portions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wind turbine control software source code developed for Sinovel’s 1.5MW wind turbines and the binary code, or upper layer, of the Company’s software for the PM3000 power converters in 1.5MW wind turbines. In July 2011, a former employee of the Company’s AMSC Windtec GmbH subsidiary was arrested in Austria on charges of economic espionage and fraudulent manipulation of data. In September 2011, the former employee pled guilty to the charges, and he is currently serving a prison sentence.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court has accepted the case, which was necessary in order for the case to proceed.</w:t>
      </w:r>
    </w:p>
    <w:p>
      <w:pPr>
        <w:spacing w:after="0" w:line="8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7"/>
          <w:szCs w:val="17"/>
          <w:i w:val="1"/>
          <w:iCs w:val="1"/>
          <w:color w:val="auto"/>
        </w:rPr>
        <w:t>(2011) Gao Min Chu Zi No. 4193</w:t>
      </w:r>
      <w:r>
        <w:rPr>
          <w:rFonts w:ascii="Arial" w:cs="Arial" w:eastAsia="Arial" w:hAnsi="Arial"/>
          <w:sz w:val="17"/>
          <w:szCs w:val="17"/>
          <w:color w:val="auto"/>
        </w:rPr>
        <w:t>.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court has accepted the case, which was necessary in order for the case to proceed.</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case is captioned </w:t>
      </w:r>
      <w:r>
        <w:rPr>
          <w:rFonts w:ascii="Arial" w:cs="Arial" w:eastAsia="Arial" w:hAnsi="Arial"/>
          <w:sz w:val="17"/>
          <w:szCs w:val="17"/>
          <w:i w:val="1"/>
          <w:iCs w:val="1"/>
          <w:color w:val="auto"/>
        </w:rPr>
        <w:t>(2011) Hainan Yi Zhong Min Chu Zi No. 62</w:t>
      </w:r>
      <w:r>
        <w:rPr>
          <w:rFonts w:ascii="Arial" w:cs="Arial" w:eastAsia="Arial" w:hAnsi="Arial"/>
          <w:sz w:val="17"/>
          <w:szCs w:val="17"/>
          <w:color w:val="auto"/>
        </w:rPr>
        <w:t>. The application alleges that the Company’s PM1000 converters in certain Sinovel wind turbines have been replaced by converters produced by Guotong. 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Hainan Power, Inc, Sinovel has been added by the court to this case as a defendant.</w:t>
      </w:r>
    </w:p>
    <w:p>
      <w:pPr>
        <w:spacing w:after="0" w:line="74"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46" w:lineRule="exact"/>
        <w:rPr>
          <w:sz w:val="20"/>
          <w:szCs w:val="20"/>
          <w:color w:val="auto"/>
        </w:rPr>
      </w:pPr>
    </w:p>
    <w:p>
      <w:pPr>
        <w:ind w:right="300" w:firstLine="215"/>
        <w:spacing w:after="0" w:line="312" w:lineRule="auto"/>
        <w:rPr>
          <w:sz w:val="20"/>
          <w:szCs w:val="20"/>
          <w:color w:val="auto"/>
        </w:rPr>
      </w:pPr>
      <w:r>
        <w:rPr>
          <w:rFonts w:ascii="Arial" w:cs="Arial" w:eastAsia="Arial" w:hAnsi="Arial"/>
          <w:sz w:val="16"/>
          <w:szCs w:val="16"/>
          <w:color w:val="auto"/>
        </w:rPr>
        <w:t>As of September 30, 2011, the Company had seven performance bonds in support of customer contracts to guarantee supply of core components and software. The total value of the outstanding performance bonds is $1.8 million with various expiration dates through March 2014. In the event that the payment is made in accordance with the requirements of any of these performance bonds, the Company would record the payment as an offset to revenue.</w:t>
      </w:r>
    </w:p>
    <w:p>
      <w:pPr>
        <w:spacing w:after="0" w:line="39"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At September 30, 2011, the Company had $8.3 million of restricted cash included in current assets. At September 30, 2011, the Company had $1.1 million of restricted cash included in long-term assets. These amounts included in restricted cash represent deposits to secure letters of credit for various supply contracts. These deposits are held in an interest bearing account. The Company had an additional $2.2 million in unsecured letters of credit at September 30, 2011 in support of various supply contracts.</w:t>
      </w:r>
    </w:p>
    <w:p>
      <w:pPr>
        <w:spacing w:after="0" w:line="79"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Company had unused, unsecured lines of credit consisting of RMB 17.6 million (approximately $2.7 million) in China and €1.6 million (approximately $2.2 million) in Austria as of September 30, 2011. During the three months ended September 30, 2011, the Company’s unsecured credit line with the Bank of China expired and it repaid borrowings on lines of credit of $4.6 million and there were no borrowings outstanding as of September 30,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Investments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17" w:lineRule="exact"/>
        <w:rPr>
          <w:sz w:val="20"/>
          <w:szCs w:val="20"/>
          <w:color w:val="auto"/>
        </w:rPr>
      </w:pPr>
    </w:p>
    <w:p>
      <w:pPr>
        <w:ind w:right="440" w:firstLine="225"/>
        <w:spacing w:after="0" w:line="312" w:lineRule="auto"/>
        <w:rPr>
          <w:sz w:val="20"/>
          <w:szCs w:val="20"/>
          <w:color w:val="auto"/>
        </w:rPr>
      </w:pPr>
      <w:r>
        <w:rPr>
          <w:rFonts w:ascii="Arial" w:cs="Arial" w:eastAsia="Arial" w:hAnsi="Arial"/>
          <w:sz w:val="16"/>
          <w:szCs w:val="16"/>
          <w:color w:val="auto"/>
        </w:rPr>
        <w:t>On October 9, 2009, the Company made an investment in Tres Amigas LLC, (“Tres Amigas”), a merchant transmission company, for $1.8 million, consisting of $0.8 million in cash and $1.0 million in AMSC common stock. On January 6, 2011 and May 20, 2011, the Company increased its minority position in Tres Amigas by an additional $1.8 million on each date. As of September 30, 2011, the Company holds a 37% ownership interest.</w:t>
      </w:r>
    </w:p>
    <w:p>
      <w:pPr>
        <w:spacing w:after="0" w:line="39"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The Company has determined that Tres Amigas is a variable interest entity (“VIE”) and that the Company is not the primary beneficiary of the VIE. Therefore, the Company has not consolidated Tres Amigas as of September 30, 2011. The investment is carried at the acquisition cost, plus the Company’s equity in undistributed earnings or losses. The Company’s maximum exposure to loss is limited to the Company’s recorded investment in this VIE. The Company’s investment in Tres Amigas is included in other assets on the consolidated balance sheet and the equity in undistributed losses of Tres Amigas is included in other income, net, on the consolidated statements of operations.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investment activity for the six months ended September 30, 2011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6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Purchase of minority investment</w:t>
            </w: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Minority interest in net losses</w:t>
            </w:r>
          </w:p>
        </w:tc>
        <w:tc>
          <w:tcPr>
            <w:tcW w:w="6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6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r>
      <w:tr>
        <w:trPr>
          <w:trHeight w:val="412"/>
        </w:trPr>
        <w:tc>
          <w:tcPr>
            <w:tcW w:w="4080" w:type="dxa"/>
            <w:vAlign w:val="bottom"/>
          </w:tcPr>
          <w:p>
            <w:pPr>
              <w:spacing w:after="0"/>
              <w:rPr>
                <w:sz w:val="24"/>
                <w:szCs w:val="24"/>
                <w:color w:val="auto"/>
              </w:rPr>
            </w:pPr>
          </w:p>
        </w:tc>
        <w:tc>
          <w:tcPr>
            <w:tcW w:w="6560" w:type="dxa"/>
            <w:vAlign w:val="bottom"/>
          </w:tcPr>
          <w:p>
            <w:pPr>
              <w:jc w:val="right"/>
              <w:ind w:right="47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The Company uses the equity method of accounting for this investment since it does not have a controlling ownership interest in the operating and financial policies of Blade Dynamics. As such, the investment is carried at the acquisition cost, plus the Company’s equity in undistributed earnings or losses. The Company’s investment is included in other assets on the unaudited condensed consolidated balance sheet and the minority interest in net losses of Blade Dynamics is included in other income, net, on the unaudited condensed consolidated statements of operations. As of September 30, 2011, the Company holds a 25% ownership interest. The net investment activity for the six months ended September 30, 2011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Minority interest in net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(924)</w:t>
            </w: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121"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Business segments are defined as components of an enterprise about which separate financial information is available that is evaluated regularly by the chief operating decision maker, or decision-making group, in assessing performance and deciding how to allocate resources.</w:t>
      </w:r>
    </w:p>
    <w:p>
      <w:pPr>
        <w:spacing w:after="0" w:line="38"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Company operates its business into two market-facing business units: Wind and Grid. The Company believes this market-centric structure enables it to more effectively anticipate and meet the needs of wind turbine manufacturers, power generation project developers and electric utilities.</w:t>
      </w:r>
    </w:p>
    <w:p>
      <w:pPr>
        <w:spacing w:after="0" w:line="38" w:lineRule="exact"/>
        <w:rPr>
          <w:sz w:val="20"/>
          <w:szCs w:val="20"/>
          <w:color w:val="auto"/>
        </w:rPr>
      </w:pPr>
    </w:p>
    <w:p>
      <w:pPr>
        <w:ind w:left="1000" w:right="40" w:hanging="317"/>
        <w:spacing w:after="0" w:line="272" w:lineRule="auto"/>
        <w:tabs>
          <w:tab w:leader="none" w:pos="100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its Windtec Solutions, the Wind business segment enables manufacturers to field wind turbines with exceptional power output,</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83" w:lineRule="exact"/>
        <w:rPr>
          <w:rFonts w:ascii="Arial" w:cs="Arial" w:eastAsia="Arial" w:hAnsi="Arial"/>
          <w:sz w:val="17"/>
          <w:szCs w:val="17"/>
          <w:b w:val="1"/>
          <w:bCs w:val="1"/>
          <w:color w:val="auto"/>
        </w:rPr>
      </w:pPr>
    </w:p>
    <w:p>
      <w:pPr>
        <w:ind w:left="1000" w:right="60" w:hanging="317"/>
        <w:spacing w:after="0" w:line="276" w:lineRule="auto"/>
        <w:tabs>
          <w:tab w:leader="none" w:pos="100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Grid. </w:t>
      </w:r>
      <w:r>
        <w:rPr>
          <w:rFonts w:ascii="Arial" w:cs="Arial" w:eastAsia="Arial" w:hAnsi="Arial"/>
          <w:sz w:val="17"/>
          <w:szCs w:val="17"/>
          <w:color w:val="auto"/>
        </w:rPr>
        <w:t>Through its Gridtec Solutions, the Grid business segment enables electric utilities and renewable energy project developers to connect,</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 and distribute power with exceptional efficiency, reliability and affordability. The Grid business unit provides transmission planning services that allow us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64"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Prior to April 1, 2011, the Company segmented its operations through two technology-centric business units: AMSC Power Systems and AMSC Superconductors. AMSC Power Systems included all of its Wind products, as well as Grid products that regulate voltage for wind farm voltage electric utilities, renewable generation project developers and industrial operations. Solutions from the Company’s AMSC Superconductors business unit have been incorporated into its Grid business unit. All prior period segment disclosures have been revised to conform to management’s current view of the Company’s business segments.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9"/>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Wind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13,449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560"/>
              <w:spacing w:after="0"/>
              <w:rPr>
                <w:sz w:val="20"/>
                <w:szCs w:val="20"/>
                <w:color w:val="auto"/>
              </w:rPr>
            </w:pPr>
            <w:r>
              <w:rPr>
                <w:rFonts w:ascii="Arial" w:cs="Arial" w:eastAsia="Arial" w:hAnsi="Arial"/>
                <w:sz w:val="18"/>
                <w:szCs w:val="18"/>
                <w:color w:val="auto"/>
              </w:rPr>
              <w:t>$ 89,316</w:t>
            </w: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$ 17,712</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$ 172,323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8,757</w:t>
            </w:r>
          </w:p>
        </w:tc>
        <w:tc>
          <w:tcPr>
            <w:tcW w:w="11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12,146</w:t>
            </w:r>
          </w:p>
        </w:tc>
        <w:tc>
          <w:tcPr>
            <w:tcW w:w="4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22,960</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20,800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$ 98,073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$ 29,858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$ 195,283</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65"/>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Wind</w:t>
            </w:r>
          </w:p>
        </w:tc>
        <w:tc>
          <w:tcPr>
            <w:tcW w:w="940" w:type="dxa"/>
            <w:vAlign w:val="bottom"/>
            <w:gridSpan w:val="4"/>
          </w:tcPr>
          <w:p>
            <w:pPr>
              <w:jc w:val="right"/>
              <w:ind w:right="48"/>
              <w:spacing w:after="0"/>
              <w:rPr>
                <w:sz w:val="20"/>
                <w:szCs w:val="20"/>
                <w:color w:val="auto"/>
              </w:rPr>
            </w:pPr>
            <w:r>
              <w:rPr>
                <w:rFonts w:ascii="Arial" w:cs="Arial" w:eastAsia="Arial" w:hAnsi="Arial"/>
                <w:sz w:val="18"/>
                <w:szCs w:val="18"/>
                <w:color w:val="auto"/>
              </w:rPr>
              <w:t>($16,336)</w:t>
            </w:r>
          </w:p>
        </w:tc>
        <w:tc>
          <w:tcPr>
            <w:tcW w:w="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32,655</w:t>
            </w:r>
          </w:p>
        </w:tc>
        <w:tc>
          <w:tcPr>
            <w:tcW w:w="56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($40,705)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63,994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94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($7,645)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($15,213)</w:t>
            </w:r>
          </w:p>
        </w:tc>
        <w:tc>
          <w:tcPr>
            <w:tcW w:w="5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3"/>
              </w:rPr>
              <w:t>($18,197)</w:t>
            </w:r>
          </w:p>
        </w:tc>
        <w:tc>
          <w:tcPr>
            <w:tcW w:w="4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($26,998)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940" w:type="dxa"/>
            <w:vAlign w:val="bottom"/>
            <w:gridSpan w:val="4"/>
          </w:tcPr>
          <w:p>
            <w:pPr>
              <w:jc w:val="right"/>
              <w:ind w:right="48"/>
              <w:spacing w:after="0"/>
              <w:rPr>
                <w:sz w:val="20"/>
                <w:szCs w:val="20"/>
                <w:color w:val="auto"/>
              </w:rPr>
            </w:pPr>
            <w:r>
              <w:rPr>
                <w:rFonts w:ascii="Arial" w:cs="Arial" w:eastAsia="Arial" w:hAnsi="Arial"/>
                <w:sz w:val="18"/>
                <w:szCs w:val="18"/>
                <w:color w:val="auto"/>
              </w:rPr>
              <w:t>($27,144)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($4,362)</w:t>
            </w:r>
          </w:p>
        </w:tc>
        <w:tc>
          <w:tcPr>
            <w:tcW w:w="56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($30,549)</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($7,836)</w:t>
            </w:r>
          </w:p>
        </w:tc>
      </w:tr>
      <w:tr>
        <w:trPr>
          <w:trHeight w:val="27"/>
        </w:trPr>
        <w:tc>
          <w:tcPr>
            <w:tcW w:w="6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($51,125)</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13,080</w:t>
            </w:r>
          </w:p>
        </w:tc>
        <w:tc>
          <w:tcPr>
            <w:tcW w:w="5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3"/>
              </w:rPr>
              <w:t>($89,451)</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29,160</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 income.</w:t>
      </w:r>
    </w:p>
    <w:p>
      <w:pPr>
        <w:spacing w:after="0" w:line="8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Unallocated corporate expenses primarily consist of the write-off of an advance payment to The Switch of $20.6 million and restructuring and impairment charges of $4.3 million for the three and six months ended September 30, 2011 and stock-based compensation expense of $2.1 million and $5.6 million for the three and six months ended September 30, 2011, respectively. Unallocated corporate expenses primarily consist of stock-based compensation expense of $4.3 million and $7.8 million for the three and six months ended September 30, 2010, respectively.</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584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113,092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$ 145,464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Grid</w:t>
            </w: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72,303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67,081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140,333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228,664</w:t>
            </w:r>
          </w:p>
        </w:tc>
        <w:tc>
          <w:tcPr>
            <w:tcW w:w="0" w:type="dxa"/>
            <w:vAlign w:val="bottom"/>
          </w:tcPr>
          <w:p>
            <w:pPr>
              <w:spacing w:after="0"/>
              <w:rPr>
                <w:sz w:val="1"/>
                <w:szCs w:val="1"/>
                <w:color w:val="auto"/>
              </w:rPr>
            </w:pPr>
          </w:p>
        </w:tc>
      </w:tr>
      <w:tr>
        <w:trPr>
          <w:trHeight w:val="223"/>
        </w:trPr>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5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325,728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640" w:type="dxa"/>
            <w:vAlign w:val="bottom"/>
            <w:vMerge w:val="restart"/>
          </w:tcPr>
          <w:p>
            <w:pPr>
              <w:jc w:val="right"/>
              <w:ind w:right="315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customers who represented 10% or more of the Company’s total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Three months ended</w:t>
            </w: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Inox Wind, Ltd.</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24%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&lt;10%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Doosan Heavy Industries &amp; Construction Co Ltd.</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17%</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&lt;10%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Dongfang Electric Machinery Co.</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&lt;10%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Sinovel Wind Co., Ltd</w:t>
            </w:r>
          </w:p>
        </w:tc>
        <w:tc>
          <w:tcPr>
            <w:tcW w:w="1040" w:type="dxa"/>
            <w:vAlign w:val="bottom"/>
            <w:gridSpan w:val="3"/>
          </w:tcPr>
          <w:p>
            <w:pPr>
              <w:jc w:val="right"/>
              <w:ind w:right="700"/>
              <w:spacing w:after="0"/>
              <w:rPr>
                <w:sz w:val="20"/>
                <w:szCs w:val="20"/>
                <w:color w:val="auto"/>
              </w:rPr>
            </w:pPr>
            <w:r>
              <w:rPr>
                <w:rFonts w:ascii="Arial" w:cs="Arial" w:eastAsia="Arial" w:hAnsi="Arial"/>
                <w:sz w:val="18"/>
                <w:szCs w:val="18"/>
                <w:color w:val="auto"/>
                <w:w w:val="93"/>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82%</w:t>
            </w:r>
          </w:p>
        </w:tc>
        <w:tc>
          <w:tcPr>
            <w:tcW w:w="15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 Accounting Pronouncements</w:t>
      </w:r>
    </w:p>
    <w:p>
      <w:pPr>
        <w:spacing w:after="0" w:line="121" w:lineRule="exact"/>
        <w:rPr>
          <w:sz w:val="20"/>
          <w:szCs w:val="20"/>
          <w:color w:val="auto"/>
        </w:rPr>
      </w:pPr>
    </w:p>
    <w:p>
      <w:pPr>
        <w:ind w:right="200" w:firstLine="225"/>
        <w:spacing w:after="0" w:line="293" w:lineRule="auto"/>
        <w:rPr>
          <w:sz w:val="20"/>
          <w:szCs w:val="20"/>
          <w:color w:val="auto"/>
        </w:rPr>
      </w:pPr>
      <w:r>
        <w:rPr>
          <w:rFonts w:ascii="Arial" w:cs="Arial" w:eastAsia="Arial" w:hAnsi="Arial"/>
          <w:sz w:val="16"/>
          <w:szCs w:val="16"/>
          <w:color w:val="auto"/>
        </w:rPr>
        <w:t xml:space="preserve">In January 2010, the Company adopted Accounting Standards Update (ASU) No. 2010-06, </w:t>
      </w:r>
      <w:r>
        <w:rPr>
          <w:rFonts w:ascii="Arial" w:cs="Arial" w:eastAsia="Arial" w:hAnsi="Arial"/>
          <w:sz w:val="16"/>
          <w:szCs w:val="16"/>
          <w:i w:val="1"/>
          <w:iCs w:val="1"/>
          <w:color w:val="auto"/>
        </w:rPr>
        <w:t>Fair Value Measurements and Disclosures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This standard amends the disclosure guidance with respect to fair value measurements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The Company has included these new disclosures, as applicable, in Note 3, “Marketable Securities and Fair Value Disclosures,” of the consolidated financial statements.</w:t>
      </w:r>
    </w:p>
    <w:p>
      <w:pPr>
        <w:spacing w:after="0" w:line="5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In December 2010, the FASB issued Accounting Standards Update (ASU) No. 2010-29, </w:t>
      </w:r>
      <w:r>
        <w:rPr>
          <w:rFonts w:ascii="Arial" w:cs="Arial" w:eastAsia="Arial" w:hAnsi="Arial"/>
          <w:sz w:val="17"/>
          <w:szCs w:val="17"/>
          <w:i w:val="1"/>
          <w:iCs w:val="1"/>
          <w:color w:val="auto"/>
        </w:rPr>
        <w:t>Business Combinations (Topic 805), Disclosure of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Information for Business Combinations a consensus of the FASB Emerging Issues Task Force (ASC 2010-29)</w:t>
      </w:r>
      <w:r>
        <w:rPr>
          <w:rFonts w:ascii="Arial" w:cs="Arial" w:eastAsia="Arial" w:hAnsi="Arial"/>
          <w:sz w:val="17"/>
          <w:szCs w:val="17"/>
          <w:color w:val="auto"/>
        </w:rPr>
        <w:t>. This amendment clarifies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Company does not expect the adoption of ASU 2011-04 to have a material impact on the Company’s consolidated results of operations, financial condition, or cash flows.</w:t>
      </w:r>
    </w:p>
    <w:p>
      <w:pPr>
        <w:spacing w:after="0" w:line="74"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does not expect the adoption of ASU 2011-04 to have a material impact on the Company’s consolidated results of operations, financial condition,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that are required to be disclosed.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a significant portion of our revenues has been derived from Sinovel Wind Group Co. Ltd., (“Sinovel”), which has stopped accepting scheduled deliveries and refused to pay amounts outstanding;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 we have a history of operating losses, and we may incur additional losses in the future; our operating results may fluctuate significantly from quarter to quarter and may fall below expectations in any particular fiscal quarter; adverse changes in domestic and global economic conditions could adversely affect our operating results; changes in exchange rates could adversely affect our results from operations; we have identified material weaknesses in our internal control over financial reporting and if we fail to remediate these weaknesses and maintain proper and effective internal controls over financial reporting, our ability to produce accurate and timely financial statements could be impaired and may lead investors and other users to lose confidence in our financial data; if we fail to implement our business strategy successfully, our financial performance could be harmed; we may not realize all of the sales expected from our backlog of orders and contracts; many of our revenue opportunities are dependent upon subcontractors and other business collaborators; our products face intense competition, which could limit our ability to acquire or retain customers;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our international operations are subject to risks that we do not face in the United States, which could have an adverse effect on our operating results;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many of our customer relationships outside of the United States are, either directly or indirectly, with governmental entities, and we could be adversely affected by violations of the United States Foreign Corrupt Practices Act and similar worldwide anti-bribery laws outside the United States; we rely upon third party suppliers for the components and subassemblies of many of our Wind and Grid products, making us vulnerable to supply shortages and price fluctuations, which could harm our business; we are becoming increasingly reliant on contracts that require the issuance of performance bonds; problems with product quality or product performance may cause us to incur warranty expenses and may damage our market reputation and prevent us from achieving increased sales and market share; our success in addressing the wind energy market is dependent on the manufacturers that license our designs; growth of the wind energy market depends largely on the availability and size of government subsidies and economic incentives;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the commercial uses of superconductor products are limited today, and a widespread commercial market for our products may not develop; we have limited experience in marketing and selling our superconductor products and system-level solutions, and our failure to effectively market and sell our products and solutions could lower our revenue and cash flow;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we may be unable to adequately prevent disclosure of trade secrets and other proprietary information; we have filed a demand for arbitration and other lawsuits against Sinovel regarding amounts we contend are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due and owing and are in dispute; Sinovel has filed a counterclaim in the arbitration claiming damages; we cannot be certain as to the outcome of the proceedings against Sinovel; we have been named as a party to purported stockholder class actions and shareholder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technology and products could infringe intellectual property rights of others, which may require costly litigation and, if we are not successful, could cause us to pay substantial damages and disrupt our business; our patents may not provide meaningful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and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II. Item 1A and Part 1. Item 1A of our Form 10-K for the fiscal year ended March 31, 2011,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61" w:lineRule="exact"/>
        <w:rPr>
          <w:sz w:val="20"/>
          <w:szCs w:val="20"/>
          <w:color w:val="auto"/>
        </w:rPr>
      </w:pPr>
    </w:p>
    <w:p>
      <w:pPr>
        <w:ind w:right="120" w:firstLine="215"/>
        <w:spacing w:after="0" w:line="302" w:lineRule="auto"/>
        <w:rPr>
          <w:sz w:val="20"/>
          <w:szCs w:val="20"/>
          <w:color w:val="auto"/>
        </w:rPr>
      </w:pPr>
      <w:r>
        <w:rPr>
          <w:rFonts w:ascii="Arial" w:cs="Arial" w:eastAsia="Arial" w:hAnsi="Arial"/>
          <w:sz w:val="16"/>
          <w:szCs w:val="16"/>
          <w:color w:val="auto"/>
        </w:rPr>
        <w:t>AMSC, American Superconductor, Amperium, dSVC, DataPark, D-VAR, D-VAR-RT, FaultBlocker, Gridtec Solutions, PowerModule, PowerPipelines, PQ-IVR, SafetyLock, SeaTitan, SolarTie, SuperGEAR, Wind-RT, Windtec, Windtec Solutions, wtCMS, wtSCADA, wtWPC, and “smarter, cleaner ... better energy,” are trademarks or registered trademarks of American Superconductor Corporation or its subsidiaries. All other brand names, product names, trademarks or service marks appearing in this Quarterly Report on Form 10-Q are the property of their respective 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American Superconductor Corporation (“AMSC”) was founded in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 based products. Our wind and power grid products and services provide exceptional reliability, security, efficiency and affordability to our customers.</w:t>
      </w:r>
    </w:p>
    <w:p>
      <w:pPr>
        <w:spacing w:after="0" w:line="64" w:lineRule="exact"/>
        <w:rPr>
          <w:sz w:val="20"/>
          <w:szCs w:val="20"/>
          <w:color w:val="auto"/>
        </w:rPr>
      </w:pPr>
    </w:p>
    <w:p>
      <w:pPr>
        <w:ind w:right="300" w:firstLine="225"/>
        <w:spacing w:after="0" w:line="257"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8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wires. These technologies and our system-level solutions are protected by a broad and deep intellectual property portfolio consisting of hundreds of patents and licenses worldwide.</w:t>
      </w:r>
    </w:p>
    <w:p>
      <w:pPr>
        <w:spacing w:after="0" w:line="73"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We operate our business in two market-facing business units: Wind and Grid. We believe this market-centric structure enables us to more effectively anticipate and meet the needs of wind turbine manufacturers, power generation project developers and electric utilities.</w:t>
      </w:r>
    </w:p>
    <w:p>
      <w:pPr>
        <w:spacing w:after="0" w:line="62" w:lineRule="exact"/>
        <w:rPr>
          <w:sz w:val="20"/>
          <w:szCs w:val="20"/>
          <w:color w:val="auto"/>
        </w:rPr>
      </w:pPr>
    </w:p>
    <w:p>
      <w:pPr>
        <w:ind w:left="1000" w:right="40" w:hanging="317"/>
        <w:spacing w:after="0" w:line="255" w:lineRule="auto"/>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Solutions, our Wind business segment enables manufacturers to field wind turbines with exceptional power output,</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affordability. We license our highly engineered wind turbine 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0" w:right="120" w:hanging="317"/>
        <w:spacing w:after="0" w:line="257" w:lineRule="auto"/>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and renewable energy project developers to connect,</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 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80"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Our fiscal year begins on April 1 and ends on March 31. This document refers to fiscal 2011, which is defined as the period beginning on April 1, 2011 and concluding on March 31, 2012. The second quarter of fiscal 2011 began on July 1, 2011 and concluded on September 30, 2011.</w:t>
      </w:r>
    </w:p>
    <w:p>
      <w:pPr>
        <w:spacing w:after="0" w:line="38"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cash requirements depend on numerous factors, including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64" w:lineRule="exact"/>
        <w:rPr>
          <w:sz w:val="20"/>
          <w:szCs w:val="20"/>
          <w:color w:val="auto"/>
        </w:rPr>
      </w:pPr>
    </w:p>
    <w:p>
      <w:pPr>
        <w:jc w:val="both"/>
        <w:ind w:right="80" w:firstLine="215"/>
        <w:spacing w:after="0" w:line="302" w:lineRule="auto"/>
        <w:rPr>
          <w:sz w:val="20"/>
          <w:szCs w:val="20"/>
          <w:color w:val="auto"/>
        </w:rPr>
      </w:pPr>
      <w:r>
        <w:rPr>
          <w:rFonts w:ascii="Arial" w:cs="Arial" w:eastAsia="Arial" w:hAnsi="Arial"/>
          <w:sz w:val="16"/>
          <w:szCs w:val="16"/>
          <w:color w:val="auto"/>
        </w:rPr>
        <w:t>As of September 30, 2011 and March 31, 2011, we had backlog of approximately $298.2 million and $228.4 million, respectively, excluding Sinovel. On March 31, 2011, Sinovel refused to accept contracted shipments of 1.5-MW and 3-MW wind turbine core electrical components and spare parts that we were prepared to deliver. As a result, we have not made shipments to Sinovel since February 2011. Additionally, we are pursuing litigation against Sinovel for the theft of our intellectual property (as discussed below). Consequently, our reported backlog excludes purchase contracts with Sinovel.</w:t>
      </w:r>
    </w:p>
    <w:p>
      <w:pPr>
        <w:spacing w:after="0" w:line="46"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57"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color w:val="auto"/>
        </w:rPr>
        <w:t>While we have had several discussions with Sinovel since March 31, 2011, as of the date of this filing, we have not received payment for any outstanding receivables nor have we been notified as to when, if ever, they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AMSC Windtec subsidiary, we believe that Sinovel illegally obtained and used our intellectual property in violation of civil and criminal intellectual property laws. In July 2011, the former employee was arrested in Austria and in September 2011, pled guilty to charges of economic espionage and fraudulent manipulation of data.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7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have also filed civil and criminal complaints against Sinovel. On September 16, 2011, we filed a civil complaint in China against Dalian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Guotong Electric, Co., Ltd. and other parties. The complaints allege the illegal use of our intellectual property. We are seeking to compel Sinovel and the other parties to cease and desist from infringing our intellectual property and are also seeking monetary damages to compensate us for our economic losses resulting from the infringement.</w:t>
      </w:r>
    </w:p>
    <w:p>
      <w:pPr>
        <w:spacing w:after="0" w:line="7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cannot provide any assurance as to the outcome of these legal actions. We are now operating our business under the assumption that Sinovel will not be a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first quarter of fiscal 2011 in the critical accounting policies that were disclosed in our Form 10-K for fiscal 2010, which ended on March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2011 compared to the three and six months ended September 30, 2010</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Beginning on April 1, 2011, management revised its reportable business segments into Wind and Grid as a result of changes in the manner in which we disaggregate the Company’s operations for making operating decisions and assessing performance of our business segments. Previously, we had two reportable business segments, AMSC Power Systems and AMSC Superconductors. All prior period segment disclosures have been revised to conform to management’s current view of its business segments.</w:t>
      </w:r>
    </w:p>
    <w:p>
      <w:pPr>
        <w:spacing w:after="0" w:line="79" w:lineRule="exact"/>
        <w:rPr>
          <w:sz w:val="20"/>
          <w:szCs w:val="20"/>
          <w:color w:val="auto"/>
        </w:rPr>
      </w:pPr>
    </w:p>
    <w:p>
      <w:pPr>
        <w:ind w:right="180" w:firstLine="215"/>
        <w:spacing w:after="0" w:line="276" w:lineRule="auto"/>
        <w:rPr>
          <w:sz w:val="20"/>
          <w:szCs w:val="20"/>
          <w:color w:val="auto"/>
        </w:rPr>
      </w:pPr>
      <w:r>
        <w:rPr>
          <w:rFonts w:ascii="Arial" w:cs="Arial" w:eastAsia="Arial" w:hAnsi="Arial"/>
          <w:sz w:val="17"/>
          <w:szCs w:val="17"/>
          <w:color w:val="auto"/>
        </w:rPr>
        <w:t>As discussed above, the disruption in our relationship with Sinovel has materially and adversely affected our business and results of operations. Because Sinovel has accounted for more than two-thirds of our revenues over each of the past three fiscal years, we experienced significantly lower revenues and significant operating losses during the three and six months ended September 30, 2011. Revenues to Sinovel represented 82% and 77% of total revenues for the three and six months ended September 30, 2010, respectively. Since no cash payments were made by Sinovel in the three and six months ended September 30, 2011, no revenue was recognized from Sinovel in the three and six months ended September 30,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Total revenues decreased by 79% and 85% to $20.8 million and $29.9 million for the three and six months ended September 30, 2011, respectively, compared to $98.1 million and $195.3 million for the three and six months ended September 30, 2010, respectively. Our revenues are summarized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Wind</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13,449</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89,316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17,712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$ 172,323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8,757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12,146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22,960</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20,800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98,073</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7"/>
              </w:rPr>
              <w:t>29,858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$ 195,283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Wind business unit accounted for 65% and 59% of total revenues for the three and six months ended September 30, 2011, respectively,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91% and 88% for the three and six months ended September 30, 2010. Revenues in the Wind business unit decreased 85% and 90% to $13.5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$17.7 million in the three and six months ended September 30, 2011, respectively, from $89.3 million and $172.3 million in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2010, respectively. The decrease in Wind business unit revenues was primarily due to the disruption in our relationship with Sinovel,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above.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Grid business unit accounted for 35% and 41% of total revenues for the three and six months ended September 30, 2011, respectively,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 and 12% for the three and six months ended September 30, 2010. Revenues in the Grid business unit decreased 16% and 47% to $7.4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$12.1 million in the three and six months ended September 30, 2011, respectively, from $8.8 million and $23.0 million in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decrease in Grid business unit revenues for the three months ended September 30, 2011 was due primarily to reduced HTS product sales, partially offset by higher D-VAR product sales. The decrease in Grid business unit revenues for the six months ended September 30, 2011 was due primarily to reduced D-VAR and HTS product sales.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 earned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Expected total</w:t>
            </w:r>
          </w:p>
        </w:tc>
        <w:tc>
          <w:tcPr>
            <w:tcW w:w="1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through</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bottom w:val="single" w:sz="8" w:color="auto"/>
            </w:tcBorders>
          </w:tcPr>
          <w:p>
            <w:pPr>
              <w:ind w:left="1020"/>
              <w:spacing w:after="0" w:line="142" w:lineRule="exact"/>
              <w:rPr>
                <w:sz w:val="20"/>
                <w:szCs w:val="20"/>
                <w:color w:val="auto"/>
              </w:rPr>
            </w:pPr>
            <w:r>
              <w:rPr>
                <w:rFonts w:ascii="Arial" w:cs="Arial" w:eastAsia="Arial" w:hAnsi="Arial"/>
                <w:sz w:val="14"/>
                <w:szCs w:val="14"/>
                <w:b w:val="1"/>
                <w:bCs w:val="1"/>
                <w:color w:val="auto"/>
              </w:rPr>
              <w:t>Project name</w:t>
            </w:r>
          </w:p>
        </w:tc>
        <w:tc>
          <w:tcPr>
            <w:tcW w:w="520" w:type="dxa"/>
            <w:vAlign w:val="bottom"/>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contract value</w:t>
            </w:r>
          </w:p>
        </w:tc>
        <w:tc>
          <w:tcPr>
            <w:tcW w:w="620" w:type="dxa"/>
            <w:vAlign w:val="bottom"/>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30, 2011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24,908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LIPA I and II</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40,141</w:t>
            </w: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39,784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DOE-FCL</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NAVSEA Motor Study</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64,392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40" w:firstLine="222"/>
        <w:spacing w:after="0" w:line="308" w:lineRule="auto"/>
        <w:rPr>
          <w:sz w:val="20"/>
          <w:szCs w:val="20"/>
          <w:color w:val="auto"/>
        </w:rPr>
      </w:pPr>
      <w:r>
        <w:rPr>
          <w:rFonts w:ascii="Arial" w:cs="Arial" w:eastAsia="Arial" w:hAnsi="Arial"/>
          <w:sz w:val="17"/>
          <w:szCs w:val="17"/>
          <w:color w:val="auto"/>
        </w:rPr>
        <w:t>These significant projects represented 6% and 20% of the Grid business unit revenues for the three and six months ended September 30, 2011, respectively, compared to 25% and 17% for the three and six months ended September 30, 2010, respectively.</w:t>
      </w:r>
    </w:p>
    <w:p>
      <w:pPr>
        <w:spacing w:after="0" w:line="38"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Project HYDRA is a contract with Consolidated Edison, Inc. which is being partially funded by the U.S. Department of Homeland Security (“DHS”). DHS is expected to invest up to a total of $24.9 million in the development of a new high temperature superconductor power grid technology called FaultBlocker™ cable systems. FaultBlocker cable systems are designed to utilize customized Amperium™ HTS wires, and ancillary controls to deliver more power through the grid while also being able to suppress power surges that can disrupt service. On September 15, 2011, the DHS committed an additional $3.0 million in funding on Project HYDRA. Of the total $24.9 million in funding expected from DHS, it has committed funding of $15.6 million to us as of September 30, 2011. Consolidated Edison and Southwire Company are subcontractors to us on this project.</w:t>
      </w:r>
    </w:p>
    <w:p>
      <w:pPr>
        <w:spacing w:after="0" w:line="7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LIPA II is a project to install an HTS power cable utilizing our Amperium™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Based on the average Euro and Renminbi exchange rates for the second quarter of fiscal 2011, revenues denominated in these foreign currencies translated into U.S. dollars were $0.2 million higher compared to the translation of these revenues using the average exchange rates of these currencies for the second quarter of fiscal 2010.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customers who represented 10% or more of the Company’s total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Three months ended</w:t>
            </w: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Inox Wind, Ltd.</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24%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&lt;10%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Doosan Heavy Industries &amp; Construction Co Ltd.</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17%</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&lt;10%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Dongfang Electric Machinery Co.</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&lt;10%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Sinovel Wind Co., Ltd</w:t>
            </w:r>
          </w:p>
        </w:tc>
        <w:tc>
          <w:tcPr>
            <w:tcW w:w="1040" w:type="dxa"/>
            <w:vAlign w:val="bottom"/>
            <w:gridSpan w:val="3"/>
          </w:tcPr>
          <w:p>
            <w:pPr>
              <w:jc w:val="right"/>
              <w:ind w:right="700"/>
              <w:spacing w:after="0"/>
              <w:rPr>
                <w:sz w:val="20"/>
                <w:szCs w:val="20"/>
                <w:color w:val="auto"/>
              </w:rPr>
            </w:pPr>
            <w:r>
              <w:rPr>
                <w:rFonts w:ascii="Arial" w:cs="Arial" w:eastAsia="Arial" w:hAnsi="Arial"/>
                <w:sz w:val="18"/>
                <w:szCs w:val="18"/>
                <w:color w:val="auto"/>
                <w:w w:val="93"/>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82%</w:t>
            </w:r>
          </w:p>
        </w:tc>
        <w:tc>
          <w:tcPr>
            <w:tcW w:w="15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revenues decreased by 63% and 67% to $21.9 million and $38.9 million for the three and six months ended September 30, 2011,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$59.4 million and $117.6 million for the three and six months ended September 30, 2010. Gross margin was (5.5%) and (30.3%) for the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2011, respectively, compared to 39.4% and 39.8% for the three and six months ended September 30, 2010, respectively. The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and cost of revenues in the three and six months ended September 30, 2011 as compared to the same period in fiscal 2010 was a result of lower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due to the disruption in our relationship with Sinovel and unabsorbed fixed overhead due to idle capacity. This is expected to improve in the future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quarters as the wind market in China recovers.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Based on the average Euro and Renminbi exchange rates for the second quarter of fiscal 2011, cost of revenues denominated in these foreign currencies translated into U.S. dollars was $0.5 million higher compared to the translation of cost of revenues using the average exchange rates of these currencies for the second quarter of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260" w:firstLine="215"/>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condensed consolidated statements of operations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15,411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15,192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3,263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2,510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7,303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5,879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Aggregated R&amp;D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10,585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22,795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21,345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decreased by 7% to $7.3 million from $7.9 million for the three months ended September 30, 2011 and increased 1% to $15.4 million from $15.2 million for the six months ended September 30, 2011. Lower R&amp;D expenditures for the three months ended September 30, 2011 was primarily due to the impact of our cost reduction activities. Higher R&amp;D expenditures for the six months ended September 30, 2011 was primarily due to increased spending in the first quarter to support new product development in our Wind segment, partially offset by savings from cost reduction activities in the second quarter of fiscal 2011. The increase in R&amp;D expenditures reclassified to costs of revenue was a result of increased efforts under license and development contracts for wind turbine designs compared to the prior year. Aggregated R&amp;D expenses, which include amounts classified as cost of revenues and amounts offset by cost-sharing funding, increased 1% and 7% to $10.6 million and $22.8 million, or 51% and 76% of revenues for the three and six months ended September 30, 2011, respectively, compared to</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$10.5 million and $21.3 million, or 11% of revenues, for each of the three and six months ended September 30, 2010, respectively. Growth in R&amp;D expenses is expected to moderate going forward as a result of the restructuring actions undertaken in fiscal 2011.</w:t>
      </w:r>
    </w:p>
    <w:p>
      <w:pPr>
        <w:spacing w:after="0" w:line="76"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SG&amp;A expenses increased by 1% and 22% to $17.6 million and $39.6 million, or 84% and 132% of revenues,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respectively, from $17.3 million and $32.5 million, or 18% and 17% of revenues, for each of the three and six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2010, respectively. The increases in SG&amp;A expenses were due primarily to increases in legal fees associated with ongoing litigation as discussed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 II, Item 1, “Legal Proceedings,” of this Quarterly Report on Form 10-Q. During the three and six months ended September 30, 2011,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 million in legal fees related to Sinovel litigation. Higher legal expenses are expected for the next several quarters as we expect to continue pursuing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 against Sinovel.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 of advance payment</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 October 2011, we terminated our previously planned acquisition of The Switch due to adverse market conditions for a financing required to fund the acquisition. As a result, The Switch retained a $20.6 million advance payment as a break-up fee, and we recorded a write-off of the advance payment during the three months ended September 30, 2011.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17" w:lineRule="exact"/>
        <w:rPr>
          <w:sz w:val="20"/>
          <w:szCs w:val="20"/>
          <w:color w:val="auto"/>
        </w:rPr>
      </w:pPr>
    </w:p>
    <w:p>
      <w:pPr>
        <w:ind w:right="600" w:firstLine="222"/>
        <w:spacing w:after="0" w:line="264" w:lineRule="auto"/>
        <w:rPr>
          <w:sz w:val="20"/>
          <w:szCs w:val="20"/>
          <w:color w:val="auto"/>
        </w:rPr>
      </w:pPr>
      <w:r>
        <w:rPr>
          <w:rFonts w:ascii="Arial" w:cs="Arial" w:eastAsia="Arial" w:hAnsi="Arial"/>
          <w:sz w:val="18"/>
          <w:szCs w:val="18"/>
          <w:color w:val="auto"/>
        </w:rPr>
        <w:t>We recorded amortization expense related to our core technology and know-how, trade names and trademark intangible assets of $0.3 million and $0.6 million in the three and six months ended September 30, 2011, respectively, compared to $0.4 million and $0.8 million in the three months ended September 30, 2010. These intangible assets are primarily a result of our AMSC Windtec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recorded restructuring and impairment charges of $4.3 million in the three and six months ended September 30, 2011. These amounts consist primarily of employee severance and benefit costs of $3.3 million related to the August 2011 restructuring plan, facility exit costs of $0.1 million associated with portions of the leased space in Klagenfurt, Austria, and impairment charges of $0.9 million on long-lived assets for which there is no remaining future economic benefit as of September 30,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Wind</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(16,336)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32,655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(40,705)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63,994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(15,213)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(18,197)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(26,998)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(27,144)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(4,362)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(30,549)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(7,836)</w:t>
            </w:r>
          </w:p>
        </w:tc>
      </w:tr>
      <w:tr>
        <w:trPr>
          <w:trHeight w:val="27"/>
        </w:trPr>
        <w:tc>
          <w:tcPr>
            <w:tcW w:w="4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(51,125)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13,080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(89,451)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29,160</w:t>
            </w: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Operating (loss) income for the Wind business unit decreased to an operating loss of $16.3 million and $40.7 million in the three and six months ended September 30, 2011, respectively, from an operating income of $32.7 million and $64.0 million in the three and six months ended September 30, 2010, respectively. The decrease in Wind business unit operating income was primarily due to the disruption in our relationship with Sinovel, as described above.</w:t>
      </w:r>
    </w:p>
    <w:p>
      <w:pPr>
        <w:spacing w:after="0" w:line="39"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Operating (loss) income for the Grid business unit decreased to an operating loss of $7.6 million and $18.2 million in the three and six months ended September 30, 2011, respectively, from an operating loss of $15.2 million and $27.0 million in the three and six months ended September 30, 2010, respectively. The decrease in Grid business unit operating loss was primarily due to lower operating expenses as a result of the reductions in force, reduced discretionary spending and changes to corporate allocations, partially offset by reduced DVAR revenues.</w:t>
      </w:r>
    </w:p>
    <w:p>
      <w:pPr>
        <w:spacing w:after="0" w:line="63"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Unallocated corporate expenses primarily consist of the write-off of an advance payment to The Switch of $20.6 million and restructuring and impairment charges of $4.3 million for the three and six months ended September 30, 2011 and stock-based compensation expense of $2.1 million and $5.6 million for the three and six months ended September 30, 2011, respectively. Unallocated corporate expenses primarily consist of stock-based compensation expense of $4.3 million and $7.8 million for the three and six months ended September 30, 2010,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Interest income, net, was less than $0.1 million and $0.2 million in the three and six months ended September 30, 2011, respectively,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$0.4 million in the three and six months ended September 30, 2010, respectively. The decreases are due primarily to lower interest-bearing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Other income, net, was $0.4 million and $0.9 million in the three and six months ended September 30, 2011, respectively, compared to $2.4 million and $2.6 million for the three and six months ended September 30, 2010. The decrease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other income, net primarily relates to a decrease in foreign currency gains of $1.8 million and $0.9 million, respectively, and an increase in losses on minority interest investments of $0.3 million and $0.7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three and six months ended September 30, 2011, we recorded income tax expense of $0.9 million and $1.1 million, respectively,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 million and $15.1 million in the three and six months ended September 30, 2010, respectively. Income tax expense decreased primarily due to the pretax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in the three and six months ended September 30, 2011 and a full valuation allowance against our deferred tax assets. We have provided a 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allowance against all deferred tax assets as of September 30, 2011, as it is more likely than not that our deferred tax assets are not currently realizable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 operating losses incurred since our inception in the U.S. and the significant write-offs in certain foreign jurisdictions in the fiscal year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define non-GAAP net (loss) income as net (loss) income before amortization of acquisition-related intangibles, restructuring and impairments, stock-based compensation, other unusual charges and any tax effects related to these items.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(51,709)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Write-off of advance payment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20,551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20,551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Executive severance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Sinovel litigation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3,334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excess and obsolete inventory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Margin on zero cost-basis inventory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Value-added tax write-off</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Tax effects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income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(22,141)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13,256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(52,913)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26,440</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tcPr>
          <w:p>
            <w:pPr>
              <w:spacing w:after="0"/>
              <w:rPr>
                <w:sz w:val="20"/>
                <w:szCs w:val="20"/>
                <w:color w:val="auto"/>
              </w:rPr>
            </w:pPr>
            <w:r>
              <w:rPr>
                <w:rFonts w:ascii="Arial" w:cs="Arial" w:eastAsia="Arial" w:hAnsi="Arial"/>
                <w:sz w:val="18"/>
                <w:szCs w:val="18"/>
                <w:color w:val="auto"/>
              </w:rPr>
              <w:t>Non-GAAP (loss) earnings per share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46,217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50,716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shares are used for periods where net income is generated.</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incurred non-GAAP net losses of ($22.1) million and ($52.9) million, or ($0.44) and ($1.04) per share, for the three months and six months ended September 30, 2011, compared to non-GAAP net income of $13.3 million and $26.4 or $0.29 and $0.57 per diluted share, for the three and six months ended September 30, 2010. The decrease in non-GAAP net income was driven primarily by a decrease in net income as described above, partially offset by the write-off of the advance payment to The Switch, Sinovel litigation expenses and restructuring and impairment charges.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60" w:firstLine="215"/>
        <w:spacing w:after="0" w:line="264" w:lineRule="auto"/>
        <w:rPr>
          <w:sz w:val="20"/>
          <w:szCs w:val="20"/>
          <w:color w:val="auto"/>
        </w:rPr>
      </w:pPr>
      <w:r>
        <w:rPr>
          <w:rFonts w:ascii="Arial" w:cs="Arial" w:eastAsia="Arial" w:hAnsi="Arial"/>
          <w:sz w:val="18"/>
          <w:szCs w:val="18"/>
          <w:color w:val="auto"/>
        </w:rPr>
        <w:t>At September 30, 2011, we had cash, cash equivalents, marketable securities and restricted cash of $108.3 million, compared to $245.5 million at March 31, 2011, a decrease of $137.3 million. Our cash and cash equivalents, marketable securities and restricted cash are summarized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93,511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$ 123,783</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5,378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116,126</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5,566</w:t>
            </w: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108,263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$ 245,475</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For the six months ended September 30, 2011, net cash used in operating activities was $106.9 million compared to $1.9 million in the six months ended September 30, 2010. The increase in net cash used in operations is due primarily to a decrease in net income of $106.4 million and an increase in cash used for working capital of $23.2 million, partially offset by the write-off of the advance payment to The Switch of $20.6 million.</w:t>
      </w:r>
    </w:p>
    <w:p>
      <w:pPr>
        <w:spacing w:after="0" w:line="5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For the six months ended September 30, 2011, net cash provided by investing activities was $76.2 million compared to net cash used in investing activities of $37.3 million in the six months ended September 30, 2010. The increase in net cash provided by investing activities for the six months ended September 30, 2011 was driven primarily by an increase in net maturities and sales of marketable securities of $120.9 million, a decrease in capital expenditures of $10.6 million and decrease in purchased minority investments of $6.2 million, partially offset by the $20.6 million advance payment to The Switch and an increase in restricted cash of $4.0 million.</w:t>
      </w:r>
    </w:p>
    <w:p>
      <w:pPr>
        <w:spacing w:after="0" w:line="80"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For the six months ended September 30, 2011, net cash used in financing activities was $0.1 million compared to cash provided by financing activities of $1.6 million in the six months ended September 30, 2010. The decrease in net cash provided by financing activities is primarily due to a decrease in proceeds from exercise of employee stock options and ESPP of $1.4 million and payments in lieu of issuance of common stock for payroll taxes of $0.3 million.</w:t>
      </w:r>
    </w:p>
    <w:p>
      <w:pPr>
        <w:spacing w:after="0" w:line="39" w:lineRule="exact"/>
        <w:rPr>
          <w:sz w:val="20"/>
          <w:szCs w:val="20"/>
          <w:color w:val="auto"/>
        </w:rPr>
      </w:pPr>
    </w:p>
    <w:p>
      <w:pPr>
        <w:jc w:val="both"/>
        <w:ind w:right="160" w:firstLine="215"/>
        <w:spacing w:after="0" w:line="286" w:lineRule="auto"/>
        <w:rPr>
          <w:sz w:val="20"/>
          <w:szCs w:val="20"/>
          <w:color w:val="auto"/>
        </w:rPr>
      </w:pPr>
      <w:r>
        <w:rPr>
          <w:rFonts w:ascii="Arial" w:cs="Arial" w:eastAsia="Arial" w:hAnsi="Arial"/>
          <w:sz w:val="17"/>
          <w:szCs w:val="17"/>
          <w:color w:val="auto"/>
        </w:rPr>
        <w:t>As of September 30, 2011, we had seven performance bonds in support of customer contracts to guarantee supply of core components and software. The total value of the outstanding performance bonds is $1.8 million with various expiration dates through March 2014. In the event that the payment is made in accordance with the requirements of any of these performance bonds, we would record the payment as an offset to revenue.</w:t>
      </w:r>
    </w:p>
    <w:p>
      <w:pPr>
        <w:spacing w:after="0" w:line="57" w:lineRule="exact"/>
        <w:rPr>
          <w:sz w:val="20"/>
          <w:szCs w:val="20"/>
          <w:color w:val="auto"/>
        </w:rPr>
      </w:pPr>
    </w:p>
    <w:p>
      <w:pPr>
        <w:ind w:right="480" w:firstLine="215"/>
        <w:spacing w:after="0" w:line="279" w:lineRule="auto"/>
        <w:rPr>
          <w:sz w:val="20"/>
          <w:szCs w:val="20"/>
          <w:color w:val="auto"/>
        </w:rPr>
      </w:pPr>
      <w:r>
        <w:rPr>
          <w:rFonts w:ascii="Arial" w:cs="Arial" w:eastAsia="Arial" w:hAnsi="Arial"/>
          <w:sz w:val="17"/>
          <w:szCs w:val="17"/>
          <w:color w:val="auto"/>
        </w:rPr>
        <w:t>At September 30, 2011 and March 31, 2011, we had $8.3 million and $5.6 million, respectively, of restricted cash included in current assets. At September 30, 2011, we had $1.1 million of restricted cash included in long-term assets. These amounts included in restricted cash represent deposits to secure letters of credit for various supply contracts. These deposits are held in interest bearing accounts. We had an additional $2.2 million in unsecured letters of credit, at September 30, 2011 and March 31, 2011, also in support of various supply contracts.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had unused, unsecured lines of credit consisting of RMB 17.6 million (approximately $2.7 million) in China and €1.6 million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$2.2 million) in Austria as of September 30, 2011. During the three months ended September 30, 2011, our unsecured credit line with the Bank of China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expired and we repaid borrowings on lines of credit of $4.6 million and there were no borrowings outstanding as of September 30, 2011.</w:t>
      </w:r>
    </w:p>
    <w:p>
      <w:pPr>
        <w:spacing w:after="0" w:line="10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Our business plan anticipates a substantial decline in revenues and a substantial use of cash from operations in our fiscal year ending March 31, 2012, particularly in light of the difficult and uncertain current economic environment particularly in China, the significant restructuring actions undertaken and the slowdown in the Chinese wind power market, which has accounted for more than two-thirds of our revenues in recent fiscal years. Our plan includes a significant restructuring undertaken in August 2011, resulting in the elimination of approximately 150 positions worldwide. Since April 1, 2011, we have eliminated approximately 30% of our workforce and we expect to reduce annualized expenses by approximately $30 million annually as a result of these reductions. We plan to continue to closely monitor our expenses and if required, will further reduce operating costs and capital spending to enhance liquidity. We believe that our available cash, together with additional reductions in operating costs and capital expenditures as necessary will be sufficient to fund our operations, capital expenditures and other cash requirements for at least the next twelve months. Our long-term liquidity is dependent on our ability to profitably grow our revenues or raise additional capital as required. If necessary, we may seek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financing through public or private equity offerings, debt financings, or other financing alternatives. However, there can be no assurance that financing will be available on acceptable terms or at all.</w:t>
      </w:r>
    </w:p>
    <w:p>
      <w:pPr>
        <w:spacing w:after="0" w:line="6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7"/>
          <w:szCs w:val="17"/>
          <w:i w:val="1"/>
          <w:iCs w:val="1"/>
          <w:color w:val="auto"/>
        </w:rPr>
        <w:t>Lenartz v. American Superconductor Corporation, et al.</w:t>
      </w:r>
      <w:r>
        <w:rPr>
          <w:rFonts w:ascii="Arial" w:cs="Arial" w:eastAsia="Arial" w:hAnsi="Arial"/>
          <w:sz w:val="17"/>
          <w:szCs w:val="17"/>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8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6"/>
          <w:szCs w:val="16"/>
          <w:i w:val="1"/>
          <w:iCs w:val="1"/>
          <w:color w:val="auto"/>
        </w:rPr>
        <w:t>Weakley v. Yurek, et al.</w:t>
      </w:r>
      <w:r>
        <w:rPr>
          <w:rFonts w:ascii="Arial" w:cs="Arial" w:eastAsia="Arial" w:hAnsi="Arial"/>
          <w:sz w:val="16"/>
          <w:szCs w:val="16"/>
          <w:color w:val="auto"/>
        </w:rPr>
        <w:t xml:space="preserve">, Docket No. 1:11-cv-10784;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1:11-cv-10825;</w:t>
      </w:r>
      <w:r>
        <w:rPr>
          <w:rFonts w:ascii="Arial" w:cs="Arial" w:eastAsia="Arial" w:hAnsi="Arial"/>
          <w:sz w:val="16"/>
          <w:szCs w:val="16"/>
          <w:i w:val="1"/>
          <w:iCs w:val="1"/>
          <w:color w:val="auto"/>
        </w:rPr>
        <w:t xml:space="preserve"> Connors v. Yurek, et al.</w:t>
      </w:r>
      <w:r>
        <w:rPr>
          <w:rFonts w:ascii="Arial" w:cs="Arial" w:eastAsia="Arial" w:hAnsi="Arial"/>
          <w:sz w:val="16"/>
          <w:szCs w:val="16"/>
          <w:color w:val="auto"/>
        </w:rPr>
        <w:t>, Docket No. 1:11-cv-10910; and</w:t>
      </w:r>
      <w:r>
        <w:rPr>
          <w:rFonts w:ascii="Arial" w:cs="Arial" w:eastAsia="Arial" w:hAnsi="Arial"/>
          <w:sz w:val="16"/>
          <w:szCs w:val="16"/>
          <w:i w:val="1"/>
          <w:iCs w:val="1"/>
          <w:color w:val="auto"/>
        </w:rPr>
        <w:t xml:space="preserve"> Hurd v. Yurek, et al.</w:t>
      </w:r>
      <w:r>
        <w:rPr>
          <w:rFonts w:ascii="Arial" w:cs="Arial" w:eastAsia="Arial" w:hAnsi="Arial"/>
          <w:sz w:val="16"/>
          <w:szCs w:val="16"/>
          <w:color w:val="auto"/>
        </w:rPr>
        <w:t xml:space="preserve">, Docket No. 1:11-cv-11102.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June 3, 2011. The case is now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The Superior Court in Worcester County granted the plaintiff’s motion to transfer in</w:t>
      </w:r>
      <w:r>
        <w:rPr>
          <w:rFonts w:ascii="Arial" w:cs="Arial" w:eastAsia="Arial" w:hAnsi="Arial"/>
          <w:sz w:val="16"/>
          <w:szCs w:val="16"/>
          <w:i w:val="1"/>
          <w:iCs w:val="1"/>
          <w:color w:val="auto"/>
        </w:rPr>
        <w:t xml:space="preserve"> Segel v. Yurek et al. </w:t>
      </w:r>
      <w:r>
        <w:rPr>
          <w:rFonts w:ascii="Arial" w:cs="Arial" w:eastAsia="Arial" w:hAnsi="Arial"/>
          <w:sz w:val="16"/>
          <w:szCs w:val="16"/>
          <w:color w:val="auto"/>
        </w:rPr>
        <w:t xml:space="preserve">to the Superior Court for the Commonwealth of Massachusetts, Middlesex County on June 23, 2011, and that matter is now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11-2269. On July 5, 2011, the </w:t>
      </w:r>
      <w:r>
        <w:rPr>
          <w:rFonts w:ascii="Arial" w:cs="Arial" w:eastAsia="Arial" w:hAnsi="Arial"/>
          <w:sz w:val="16"/>
          <w:szCs w:val="16"/>
          <w:i w:val="1"/>
          <w:iCs w:val="1"/>
          <w:color w:val="auto"/>
        </w:rPr>
        <w:t>Weakley</w:t>
      </w:r>
      <w:r>
        <w:rPr>
          <w:rFonts w:ascii="Arial" w:cs="Arial" w:eastAsia="Arial" w:hAnsi="Arial"/>
          <w:sz w:val="16"/>
          <w:szCs w:val="16"/>
          <w:color w:val="auto"/>
        </w:rPr>
        <w:t xml:space="preserve">, </w:t>
      </w:r>
      <w:r>
        <w:rPr>
          <w:rFonts w:ascii="Arial" w:cs="Arial" w:eastAsia="Arial" w:hAnsi="Arial"/>
          <w:sz w:val="16"/>
          <w:szCs w:val="16"/>
          <w:i w:val="1"/>
          <w:iCs w:val="1"/>
          <w:color w:val="auto"/>
        </w:rPr>
        <w:t>Connors</w:t>
      </w:r>
      <w:r>
        <w:rPr>
          <w:rFonts w:ascii="Arial" w:cs="Arial" w:eastAsia="Arial" w:hAnsi="Arial"/>
          <w:sz w:val="16"/>
          <w:szCs w:val="16"/>
          <w:color w:val="auto"/>
        </w:rPr>
        <w:t xml:space="preserve"> and </w:t>
      </w:r>
      <w:r>
        <w:rPr>
          <w:rFonts w:ascii="Arial" w:cs="Arial" w:eastAsia="Arial" w:hAnsi="Arial"/>
          <w:sz w:val="16"/>
          <w:szCs w:val="16"/>
          <w:i w:val="1"/>
          <w:iCs w:val="1"/>
          <w:color w:val="auto"/>
        </w:rPr>
        <w:t>Hurd</w:t>
      </w:r>
      <w:r>
        <w:rPr>
          <w:rFonts w:ascii="Arial" w:cs="Arial" w:eastAsia="Arial" w:hAnsi="Arial"/>
          <w:sz w:val="16"/>
          <w:szCs w:val="16"/>
          <w:color w:val="auto"/>
        </w:rPr>
        <w:t xml:space="preserve"> actions were consolidated in United States District Court for the District of Massachusetts.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to the Superior Court for the Commonwealth of Massachusetts, Middlesex County on June 23, 2011.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and </w:t>
      </w:r>
      <w:r>
        <w:rPr>
          <w:rFonts w:ascii="Arial" w:cs="Arial" w:eastAsia="Arial" w:hAnsi="Arial"/>
          <w:sz w:val="16"/>
          <w:szCs w:val="16"/>
          <w:i w:val="1"/>
          <w:iCs w:val="1"/>
          <w:color w:val="auto"/>
        </w:rPr>
        <w:t>Segel</w:t>
      </w:r>
      <w:r>
        <w:rPr>
          <w:rFonts w:ascii="Arial" w:cs="Arial" w:eastAsia="Arial" w:hAnsi="Arial"/>
          <w:sz w:val="16"/>
          <w:szCs w:val="16"/>
          <w:color w:val="auto"/>
        </w:rPr>
        <w:t xml:space="preserve"> actions were consolidated in Superior Court for the Commonwealth of Massachusetts, Middlesex County. The case is now captioned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2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81"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8"/>
          <w:szCs w:val="18"/>
          <w:i w:val="1"/>
          <w:iCs w:val="1"/>
          <w:color w:val="auto"/>
        </w:rPr>
        <w:t>(2011) Jin Zhong An Zi No. 0693</w:t>
      </w:r>
      <w:r>
        <w:rPr>
          <w:rFonts w:ascii="Arial" w:cs="Arial" w:eastAsia="Arial" w:hAnsi="Arial"/>
          <w:sz w:val="18"/>
          <w:szCs w:val="18"/>
          <w:color w:val="auto"/>
        </w:rPr>
        <w:t>. On March 31, 2011, Sinovel refused to accept contracted shipments of 1.5 megawatt (MW) and 3</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in the amount of approximately RMB 430 million ($67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81" w:lineRule="exact"/>
        <w:rPr>
          <w:sz w:val="20"/>
          <w:szCs w:val="20"/>
          <w:color w:val="auto"/>
        </w:rPr>
      </w:pPr>
    </w:p>
    <w:p>
      <w:pPr>
        <w:ind w:right="320" w:firstLine="225"/>
        <w:spacing w:after="0" w:line="254" w:lineRule="auto"/>
        <w:rPr>
          <w:sz w:val="20"/>
          <w:szCs w:val="20"/>
          <w:color w:val="auto"/>
        </w:rPr>
      </w:pPr>
      <w:r>
        <w:rPr>
          <w:rFonts w:ascii="Arial" w:cs="Arial" w:eastAsia="Arial" w:hAnsi="Arial"/>
          <w:sz w:val="18"/>
          <w:szCs w:val="18"/>
          <w:color w:val="auto"/>
        </w:rPr>
        <w:t xml:space="preserve">On October 8, 2011, Sinovel filed with the Beijing Arbitration Commission an application under the caption </w:t>
      </w:r>
      <w:r>
        <w:rPr>
          <w:rFonts w:ascii="Arial" w:cs="Arial" w:eastAsia="Arial" w:hAnsi="Arial"/>
          <w:sz w:val="18"/>
          <w:szCs w:val="18"/>
          <w:i w:val="1"/>
          <w:iCs w:val="1"/>
          <w:color w:val="auto"/>
        </w:rPr>
        <w:t>(2011) Jin Zhong An Zi No. 0693,</w:t>
      </w:r>
      <w:r>
        <w:rPr>
          <w:rFonts w:ascii="Arial" w:cs="Arial" w:eastAsia="Arial" w:hAnsi="Arial"/>
          <w:sz w:val="18"/>
          <w:szCs w:val="18"/>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millon ($58 million). On October 17, 2011, Sinovel filed with the Beijing Arbitration Commission a request for change of counterclaim to increase its damage claim to approximately RMB 1 billion ($157 million). Deducting the RMB 430 million ($67 million) claimed by the Company, the net amount of damages claimed by Sinovel is approximately RMB 570 million ($89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 xml:space="preserve">We also submitted a civil action application to the Beijing No. 1 Intermediate People’s Court under the caption </w:t>
      </w:r>
      <w:r>
        <w:rPr>
          <w:rFonts w:ascii="Arial" w:cs="Arial" w:eastAsia="Arial" w:hAnsi="Arial"/>
          <w:sz w:val="17"/>
          <w:szCs w:val="17"/>
          <w:i w:val="1"/>
          <w:iCs w:val="1"/>
          <w:color w:val="auto"/>
        </w:rPr>
        <w:t>(2011) Yi Zhong Min Chu Zi No. 15524,</w:t>
      </w:r>
      <w:r>
        <w:rPr>
          <w:rFonts w:ascii="Arial" w:cs="Arial" w:eastAsia="Arial" w:hAnsi="Arial"/>
          <w:sz w:val="17"/>
          <w:szCs w:val="17"/>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on charges of economic espionage and fraudulent manipulation of data. In September 2011, the former employee pled guilty to the charges, and he is currently serving a prison sentence.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court has accepted the case, which was necessary in order for the case to proceed.</w:t>
      </w:r>
    </w:p>
    <w:p>
      <w:pPr>
        <w:spacing w:after="0" w:line="72"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7"/>
          <w:szCs w:val="17"/>
          <w:i w:val="1"/>
          <w:iCs w:val="1"/>
          <w:color w:val="auto"/>
        </w:rPr>
        <w:t>(2011) Gao Min Chu Zi No. 4193</w:t>
      </w:r>
      <w:r>
        <w:rPr>
          <w:rFonts w:ascii="Arial" w:cs="Arial" w:eastAsia="Arial" w:hAnsi="Arial"/>
          <w:sz w:val="17"/>
          <w:szCs w:val="17"/>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court has accepted the case, which was necessary in order for the case to proceed.</w:t>
      </w:r>
    </w:p>
    <w:p>
      <w:pPr>
        <w:spacing w:after="0" w:line="64"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case is captioned </w:t>
      </w:r>
      <w:r>
        <w:rPr>
          <w:rFonts w:ascii="Arial" w:cs="Arial" w:eastAsia="Arial" w:hAnsi="Arial"/>
          <w:sz w:val="18"/>
          <w:szCs w:val="18"/>
          <w:i w:val="1"/>
          <w:iCs w:val="1"/>
          <w:color w:val="auto"/>
        </w:rPr>
        <w:t>(2011) Hainan Yi Zhong Min Chu Zi No. 62</w:t>
      </w:r>
      <w:r>
        <w:rPr>
          <w:rFonts w:ascii="Arial" w:cs="Arial" w:eastAsia="Arial" w:hAnsi="Arial"/>
          <w:sz w:val="18"/>
          <w:szCs w:val="18"/>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Hainan Power, Inc, Sinovel has been added by the court to this case as a defendant.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We have recorded a loss contingency based on our assessment of probable losses on this claim, however this amount is immaterial to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addition, the Company has various contractual arrangements in which minimum quantities of goods or services have been committed to be purchased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In January 2010, we adopted Accounting Standards Update (ASU) No. 2010-06, </w:t>
      </w:r>
      <w:r>
        <w:rPr>
          <w:rFonts w:ascii="Arial" w:cs="Arial" w:eastAsia="Arial" w:hAnsi="Arial"/>
          <w:sz w:val="17"/>
          <w:szCs w:val="17"/>
          <w:i w:val="1"/>
          <w:iCs w:val="1"/>
          <w:color w:val="auto"/>
        </w:rPr>
        <w:t>Fair Value Measurements and Disclosures (Topic 820): 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Fair Value Measurements</w:t>
      </w:r>
      <w:r>
        <w:rPr>
          <w:rFonts w:ascii="Arial" w:cs="Arial" w:eastAsia="Arial" w:hAnsi="Arial"/>
          <w:sz w:val="17"/>
          <w:szCs w:val="17"/>
          <w:color w:val="auto"/>
        </w:rPr>
        <w:t>. This standard amends the disclosure guidance with respect to fair value measurements for both interim and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We have included these new disclosures, as applicable, in Note 3, “Marketable Securities and Fair Value Disclosures,” of our consolidated financial statements.</w:t>
      </w:r>
    </w:p>
    <w:p>
      <w:pPr>
        <w:spacing w:after="0" w:line="7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December 2010, the FASB issued Accounting Standards Update (ASU) No. 2010-29, </w:t>
      </w:r>
      <w:r>
        <w:rPr>
          <w:rFonts w:ascii="Arial" w:cs="Arial" w:eastAsia="Arial" w:hAnsi="Arial"/>
          <w:sz w:val="17"/>
          <w:szCs w:val="17"/>
          <w:i w:val="1"/>
          <w:iCs w:val="1"/>
          <w:color w:val="auto"/>
        </w:rPr>
        <w:t>Business Combinations (Topic 805), Disclosure of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Information for Business Combinations a consensus of the FASB Emerging Issues Task Force (ASC 2010-29)</w:t>
      </w:r>
      <w:r>
        <w:rPr>
          <w:rFonts w:ascii="Arial" w:cs="Arial" w:eastAsia="Arial" w:hAnsi="Arial"/>
          <w:sz w:val="17"/>
          <w:szCs w:val="17"/>
          <w:color w:val="auto"/>
        </w:rPr>
        <w:t>. This amendment clarifies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We do not expect the adoption of ASU 2011-04 to have a material impact on our consolidated results of operations, financial condition, or cash flows.</w:t>
      </w:r>
    </w:p>
    <w:p>
      <w:pPr>
        <w:spacing w:after="0" w:line="7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do not expect the adoption of ASU 2011-04 to have a material impact on our consolidated results of operations, financial condition, or cash flows.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60" w:firstLine="222"/>
        <w:spacing w:after="0" w:line="34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market risk</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functional currency of each of our foreign subsidiaries is the U.S. dollar, except for our Austrian subsidiary, for which the local currency (Euro) is the functional currency, and our Chinese subsidiary, for which the local currency (Renminbi) is the functional currency. The assets and liabilities of these foreign subsidiaries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46"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Foreign currency gains included in net loss were $1.1 million and $2.3 million for the three and six months ended September 30, 2011,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gains included in net income were $2.9 million and $3.2 million for the three and six months ended September 30, 2010,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management previously identified material weaknesses in internal control over financial reporting related to revenues and accounts receivable balances as fees were not fixed or determinable or collectability was not reasonably assured at the time revenue was recognized, which is described in our Annual Report on Form 10-K for the year ended March 31, 2011. During fiscal 2011 through the date of this filing, management has been focused on remediating these material weaknesses. The remediation process is ongoing but it is not yet complete. There was no change in internal control over financial reporting during the quarter ended September 30, 2011 that has materially affected, or is reasonably likely to materially affect, our internal control over financial reporting. The following discussion sets forth a summary of management’s evaluation of our disclosure controls and procedures as of September 30, 2011.</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as of September 30, 2011 because of the previously identified material weaknesses in internal control over financial reporting discussed below.</w:t>
      </w:r>
    </w:p>
    <w:p>
      <w:pPr>
        <w:spacing w:after="0" w:line="6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Notwithstanding the material weaknesses described below, management believes that the unaudited condensed consolidated financial statements included in this Quarterly Report on Form 10-Q fairly present, in all material respects, our financial condition, results of operations and cash flows for the periods presented in conformity with accounting principles generally accepted in the United States (“GAAP”).</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This section of Item 4, “Controls and Procedures,” should be read in conjunction with Item 9A. “Controls and Procedures,” included in our Annual Report on Form 10-K for the fiscal year ended March 31, 2011.</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September 30, 2011, the unremediated material weaknesses were as follows:</w:t>
      </w:r>
    </w:p>
    <w:p>
      <w:pPr>
        <w:spacing w:after="0" w:line="117" w:lineRule="exact"/>
        <w:rPr>
          <w:sz w:val="20"/>
          <w:szCs w:val="20"/>
          <w:color w:val="auto"/>
        </w:rPr>
      </w:pPr>
    </w:p>
    <w:p>
      <w:pPr>
        <w:ind w:left="660" w:right="200" w:hanging="314"/>
        <w:spacing w:after="0" w:line="308"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spacing w:after="0" w:line="51" w:lineRule="exact"/>
        <w:rPr>
          <w:rFonts w:ascii="Arial" w:cs="Arial" w:eastAsia="Arial" w:hAnsi="Arial"/>
          <w:sz w:val="17"/>
          <w:szCs w:val="17"/>
          <w:b w:val="1"/>
          <w:bCs w:val="1"/>
          <w:color w:val="auto"/>
        </w:rPr>
      </w:pPr>
    </w:p>
    <w:p>
      <w:pPr>
        <w:ind w:left="660" w:right="4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did not maintain adequate controls to ensure proper monitoring and evaluation of customer creditworthiness, including the collectability of amounts due from customers and appropriate revenue recognition;</w:t>
      </w:r>
    </w:p>
    <w:p>
      <w:pPr>
        <w:spacing w:after="0" w:line="75" w:lineRule="exact"/>
        <w:rPr>
          <w:rFonts w:ascii="Arial" w:cs="Arial" w:eastAsia="Arial" w:hAnsi="Arial"/>
          <w:sz w:val="18"/>
          <w:szCs w:val="18"/>
          <w:b w:val="1"/>
          <w:bCs w:val="1"/>
          <w:color w:val="auto"/>
        </w:rPr>
      </w:pPr>
    </w:p>
    <w:p>
      <w:pPr>
        <w:ind w:left="660" w:right="100" w:hanging="314"/>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86" w:lineRule="exact"/>
        <w:rPr>
          <w:rFonts w:ascii="Arial" w:cs="Arial" w:eastAsia="Arial" w:hAnsi="Arial"/>
          <w:sz w:val="18"/>
          <w:szCs w:val="18"/>
          <w:b w:val="1"/>
          <w:bCs w:val="1"/>
          <w:color w:val="auto"/>
        </w:rPr>
      </w:pPr>
    </w:p>
    <w:p>
      <w:pPr>
        <w:ind w:left="660" w:right="320" w:hanging="314"/>
        <w:spacing w:after="0" w:line="308"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the status of our remediation efforts with regards to the above material weaknesses is as follows:</w:t>
      </w:r>
    </w:p>
    <w:p>
      <w:pPr>
        <w:spacing w:after="0" w:line="11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have established formal, written policies and procedures governing the customer credit process;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have implemented improved procedures to ensure the proper review and documentation of customer creditworthiness;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we have established a new worldwide revenue manager position in finance with GAAP experience to ensure accuracy of revenue recognition;</w:t>
      </w:r>
    </w:p>
    <w:p>
      <w:pPr>
        <w:spacing w:after="0" w:line="142" w:lineRule="exact"/>
        <w:rPr>
          <w:rFonts w:ascii="Arial" w:cs="Arial" w:eastAsia="Arial" w:hAnsi="Arial"/>
          <w:sz w:val="17"/>
          <w:szCs w:val="17"/>
          <w:b w:val="1"/>
          <w:bCs w:val="1"/>
          <w:color w:val="auto"/>
        </w:rPr>
      </w:pPr>
    </w:p>
    <w:p>
      <w:pPr>
        <w:ind w:left="660" w:right="58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are in the process of improving procedures to ensure the proper communication, approval and accounting review of deviations from sales contracts;</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plan to provide additional and on-going training to product managers and others involved in negotiating contractual arrangements and accounting for revenue transactions, in order to heighten awareness of revenue recognition concepts under GAAP; and</w:t>
      </w:r>
    </w:p>
    <w:p>
      <w:pPr>
        <w:spacing w:after="0" w:line="75"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are in the process of improving the internal communication process for senior management. During monthly operations reviews time is devoted to senior management review of pending operational and accounting issues for the current quarter.</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Management is committed to a strong internal control environment and believes that, when fully implemented and tested, the measures described above will improve our internal control over financial reporting. We will continue to assess the effectiveness of our remediation efforts in connection with our future assessments of the effectiveness of internal control over financial reporting.</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Except as discussed above, there were no changes in our internal control over financial reporting during the quarter ended September 30, 2011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7"/>
          <w:szCs w:val="17"/>
          <w:i w:val="1"/>
          <w:iCs w:val="1"/>
          <w:color w:val="auto"/>
        </w:rPr>
        <w:t>Lenartz v. American Superconductor Corporation, et al.</w:t>
      </w:r>
      <w:r>
        <w:rPr>
          <w:rFonts w:ascii="Arial" w:cs="Arial" w:eastAsia="Arial" w:hAnsi="Arial"/>
          <w:sz w:val="17"/>
          <w:szCs w:val="17"/>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8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6"/>
          <w:szCs w:val="16"/>
          <w:i w:val="1"/>
          <w:iCs w:val="1"/>
          <w:color w:val="auto"/>
        </w:rPr>
        <w:t>Weakley v. Yurek, et al.</w:t>
      </w:r>
      <w:r>
        <w:rPr>
          <w:rFonts w:ascii="Arial" w:cs="Arial" w:eastAsia="Arial" w:hAnsi="Arial"/>
          <w:sz w:val="16"/>
          <w:szCs w:val="16"/>
          <w:color w:val="auto"/>
        </w:rPr>
        <w:t xml:space="preserve">, Docket No. 1:11-cv-10784;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1:11-cv-10825;</w:t>
      </w:r>
      <w:r>
        <w:rPr>
          <w:rFonts w:ascii="Arial" w:cs="Arial" w:eastAsia="Arial" w:hAnsi="Arial"/>
          <w:sz w:val="16"/>
          <w:szCs w:val="16"/>
          <w:i w:val="1"/>
          <w:iCs w:val="1"/>
          <w:color w:val="auto"/>
        </w:rPr>
        <w:t xml:space="preserve"> Connors v. Yurek, et al.</w:t>
      </w:r>
      <w:r>
        <w:rPr>
          <w:rFonts w:ascii="Arial" w:cs="Arial" w:eastAsia="Arial" w:hAnsi="Arial"/>
          <w:sz w:val="16"/>
          <w:szCs w:val="16"/>
          <w:color w:val="auto"/>
        </w:rPr>
        <w:t>, Docket No. 1:11-cv-10910; and</w:t>
      </w:r>
      <w:r>
        <w:rPr>
          <w:rFonts w:ascii="Arial" w:cs="Arial" w:eastAsia="Arial" w:hAnsi="Arial"/>
          <w:sz w:val="16"/>
          <w:szCs w:val="16"/>
          <w:i w:val="1"/>
          <w:iCs w:val="1"/>
          <w:color w:val="auto"/>
        </w:rPr>
        <w:t xml:space="preserve"> Hurd v. Yurek, et al.</w:t>
      </w:r>
      <w:r>
        <w:rPr>
          <w:rFonts w:ascii="Arial" w:cs="Arial" w:eastAsia="Arial" w:hAnsi="Arial"/>
          <w:sz w:val="16"/>
          <w:szCs w:val="16"/>
          <w:color w:val="auto"/>
        </w:rPr>
        <w:t xml:space="preserve">, Docket No. 1:11-cv-11102.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June 3, 2011. The case is now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The Superior Court in Worcester County granted the plaintiff’s motion to transfer in</w:t>
      </w:r>
      <w:r>
        <w:rPr>
          <w:rFonts w:ascii="Arial" w:cs="Arial" w:eastAsia="Arial" w:hAnsi="Arial"/>
          <w:sz w:val="16"/>
          <w:szCs w:val="16"/>
          <w:i w:val="1"/>
          <w:iCs w:val="1"/>
          <w:color w:val="auto"/>
        </w:rPr>
        <w:t xml:space="preserve"> Segel v. Yurek et al. </w:t>
      </w:r>
      <w:r>
        <w:rPr>
          <w:rFonts w:ascii="Arial" w:cs="Arial" w:eastAsia="Arial" w:hAnsi="Arial"/>
          <w:sz w:val="16"/>
          <w:szCs w:val="16"/>
          <w:color w:val="auto"/>
        </w:rPr>
        <w:t xml:space="preserve">to the Superior Court for the Commonwealth of Massachusetts, Middlesex County on June 23, 2011, and that matter is now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11-2269. On July 5, 2011, the </w:t>
      </w:r>
      <w:r>
        <w:rPr>
          <w:rFonts w:ascii="Arial" w:cs="Arial" w:eastAsia="Arial" w:hAnsi="Arial"/>
          <w:sz w:val="16"/>
          <w:szCs w:val="16"/>
          <w:i w:val="1"/>
          <w:iCs w:val="1"/>
          <w:color w:val="auto"/>
        </w:rPr>
        <w:t>Weakley</w:t>
      </w:r>
      <w:r>
        <w:rPr>
          <w:rFonts w:ascii="Arial" w:cs="Arial" w:eastAsia="Arial" w:hAnsi="Arial"/>
          <w:sz w:val="16"/>
          <w:szCs w:val="16"/>
          <w:color w:val="auto"/>
        </w:rPr>
        <w:t xml:space="preserve">, </w:t>
      </w:r>
      <w:r>
        <w:rPr>
          <w:rFonts w:ascii="Arial" w:cs="Arial" w:eastAsia="Arial" w:hAnsi="Arial"/>
          <w:sz w:val="16"/>
          <w:szCs w:val="16"/>
          <w:i w:val="1"/>
          <w:iCs w:val="1"/>
          <w:color w:val="auto"/>
        </w:rPr>
        <w:t>Connors</w:t>
      </w:r>
      <w:r>
        <w:rPr>
          <w:rFonts w:ascii="Arial" w:cs="Arial" w:eastAsia="Arial" w:hAnsi="Arial"/>
          <w:sz w:val="16"/>
          <w:szCs w:val="16"/>
          <w:color w:val="auto"/>
        </w:rPr>
        <w:t xml:space="preserve"> and </w:t>
      </w:r>
      <w:r>
        <w:rPr>
          <w:rFonts w:ascii="Arial" w:cs="Arial" w:eastAsia="Arial" w:hAnsi="Arial"/>
          <w:sz w:val="16"/>
          <w:szCs w:val="16"/>
          <w:i w:val="1"/>
          <w:iCs w:val="1"/>
          <w:color w:val="auto"/>
        </w:rPr>
        <w:t>Hurd</w:t>
      </w:r>
      <w:r>
        <w:rPr>
          <w:rFonts w:ascii="Arial" w:cs="Arial" w:eastAsia="Arial" w:hAnsi="Arial"/>
          <w:sz w:val="16"/>
          <w:szCs w:val="16"/>
          <w:color w:val="auto"/>
        </w:rPr>
        <w:t xml:space="preserve"> actions were consolidated in United States District Court for the District of Massachusetts.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to the Superior Court for the Commonwealth of Massachusetts, Middlesex County on June 23, 2011.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and </w:t>
      </w:r>
      <w:r>
        <w:rPr>
          <w:rFonts w:ascii="Arial" w:cs="Arial" w:eastAsia="Arial" w:hAnsi="Arial"/>
          <w:sz w:val="16"/>
          <w:szCs w:val="16"/>
          <w:i w:val="1"/>
          <w:iCs w:val="1"/>
          <w:color w:val="auto"/>
        </w:rPr>
        <w:t>Segel</w:t>
      </w:r>
      <w:r>
        <w:rPr>
          <w:rFonts w:ascii="Arial" w:cs="Arial" w:eastAsia="Arial" w:hAnsi="Arial"/>
          <w:sz w:val="16"/>
          <w:szCs w:val="16"/>
          <w:color w:val="auto"/>
        </w:rPr>
        <w:t xml:space="preserve"> actions were consolidated in Superior Court for the Commonwealth of Massachusetts, Middlesex County. The case is now captioned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2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81"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On September 13, 2011, we commenced a series of legal actions in China against Sinovel Wind Group Co. Ltd. (“Sinovel”). Our Chinese subsidiary, Suzhou AMSC Superconductor Co. Ltd., filed a claim for arbitration with the Beijing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Arbitration Commission in accordance with the terms of our supply contracts with Sinovel. The case is captioned </w:t>
      </w:r>
      <w:r>
        <w:rPr>
          <w:rFonts w:ascii="Arial" w:cs="Arial" w:eastAsia="Arial" w:hAnsi="Arial"/>
          <w:sz w:val="16"/>
          <w:szCs w:val="16"/>
          <w:i w:val="1"/>
          <w:iCs w:val="1"/>
          <w:color w:val="auto"/>
        </w:rPr>
        <w:t>(2011) Jin Zhong An Zi No. 0693</w:t>
      </w:r>
      <w:r>
        <w:rPr>
          <w:rFonts w:ascii="Arial" w:cs="Arial" w:eastAsia="Arial" w:hAnsi="Arial"/>
          <w:sz w:val="16"/>
          <w:szCs w:val="16"/>
          <w:color w:val="auto"/>
        </w:rPr>
        <w:t>.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in the amount of approximately RMB 430 million ($67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58" w:lineRule="exact"/>
        <w:rPr>
          <w:sz w:val="20"/>
          <w:szCs w:val="20"/>
          <w:color w:val="auto"/>
        </w:rPr>
      </w:pPr>
    </w:p>
    <w:p>
      <w:pPr>
        <w:ind w:right="320" w:firstLine="225"/>
        <w:spacing w:after="0" w:line="254" w:lineRule="auto"/>
        <w:rPr>
          <w:sz w:val="20"/>
          <w:szCs w:val="20"/>
          <w:color w:val="auto"/>
        </w:rPr>
      </w:pPr>
      <w:r>
        <w:rPr>
          <w:rFonts w:ascii="Arial" w:cs="Arial" w:eastAsia="Arial" w:hAnsi="Arial"/>
          <w:sz w:val="18"/>
          <w:szCs w:val="18"/>
          <w:color w:val="auto"/>
        </w:rPr>
        <w:t xml:space="preserve">On October 8, 2011, Sinovel filed with the Beijing Arbitration Commission an application under the caption </w:t>
      </w:r>
      <w:r>
        <w:rPr>
          <w:rFonts w:ascii="Arial" w:cs="Arial" w:eastAsia="Arial" w:hAnsi="Arial"/>
          <w:sz w:val="18"/>
          <w:szCs w:val="18"/>
          <w:i w:val="1"/>
          <w:iCs w:val="1"/>
          <w:color w:val="auto"/>
        </w:rPr>
        <w:t>(2011) Jin Zhong An Zi No. 0693,</w:t>
      </w:r>
      <w:r>
        <w:rPr>
          <w:rFonts w:ascii="Arial" w:cs="Arial" w:eastAsia="Arial" w:hAnsi="Arial"/>
          <w:sz w:val="18"/>
          <w:szCs w:val="18"/>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millon ($58 million). On October 17, 2011, Sinovel filed with the Beijing Arbitration Commission a request for change of counterclaim to increase its damage claim to approximately RMB 1 billion ($157 million). Deducting the RMB 430 million ($67 million) claimed by the Company, the net amount of damages claimed by Sinovel is approximately RMB 570 million ($89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 xml:space="preserve">We also submitted a civil action application to the Beijing No. 1 Intermediate People’s Court under the caption </w:t>
      </w:r>
      <w:r>
        <w:rPr>
          <w:rFonts w:ascii="Arial" w:cs="Arial" w:eastAsia="Arial" w:hAnsi="Arial"/>
          <w:sz w:val="17"/>
          <w:szCs w:val="17"/>
          <w:i w:val="1"/>
          <w:iCs w:val="1"/>
          <w:color w:val="auto"/>
        </w:rPr>
        <w:t>(2011) Yi Zhong Min Chu Zi No. 15524,</w:t>
      </w:r>
      <w:r>
        <w:rPr>
          <w:rFonts w:ascii="Arial" w:cs="Arial" w:eastAsia="Arial" w:hAnsi="Arial"/>
          <w:sz w:val="17"/>
          <w:szCs w:val="17"/>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on charges of economic espionage and fraudulent manipulation of data. In September 2011, the former employee pled guilty to the charges, and he is currently serving a prison sentence.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court has accepted the case, which was necessary in order for the case to proceed.</w:t>
      </w:r>
    </w:p>
    <w:p>
      <w:pPr>
        <w:spacing w:after="0" w:line="72"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7"/>
          <w:szCs w:val="17"/>
          <w:i w:val="1"/>
          <w:iCs w:val="1"/>
          <w:color w:val="auto"/>
        </w:rPr>
        <w:t>(2011) Gao Min Chu Zi No. 4193</w:t>
      </w:r>
      <w:r>
        <w:rPr>
          <w:rFonts w:ascii="Arial" w:cs="Arial" w:eastAsia="Arial" w:hAnsi="Arial"/>
          <w:sz w:val="17"/>
          <w:szCs w:val="17"/>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court has accepted the case, which was necessary in order for the case to proceed.</w:t>
      </w:r>
    </w:p>
    <w:p>
      <w:pPr>
        <w:spacing w:after="0" w:line="64"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case is captioned </w:t>
      </w:r>
      <w:r>
        <w:rPr>
          <w:rFonts w:ascii="Arial" w:cs="Arial" w:eastAsia="Arial" w:hAnsi="Arial"/>
          <w:sz w:val="18"/>
          <w:szCs w:val="18"/>
          <w:i w:val="1"/>
          <w:iCs w:val="1"/>
          <w:color w:val="auto"/>
        </w:rPr>
        <w:t>(2011) Hainan Yi Zhong Min Chu Zi No. 62</w:t>
      </w:r>
      <w:r>
        <w:rPr>
          <w:rFonts w:ascii="Arial" w:cs="Arial" w:eastAsia="Arial" w:hAnsi="Arial"/>
          <w:sz w:val="18"/>
          <w:szCs w:val="18"/>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Hainan Power, Inc, Sinovel has been added by the court to this case as a defendant.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We have recorded a loss contingency based on our assessment of probable losses on this claim, however this amount is immaterial to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Investing in our common stock involves a high degree of risk. In addition to the other information set forth in this Quarterly Report on Form 10-Q, you should carefully consider factors discussed in Part I, “Item 1A. Risk Factors” in our Annual Report on Form 10-K for the year ended March 31, 2011, which could materially affect our business, financial condition or future results. To the best of our knowledge, as of the date of this report there has been no material change in any risk factors described in our Annual Report on Form 10-K, except for deleting the risk factors entitled </w:t>
      </w:r>
      <w:r>
        <w:rPr>
          <w:rFonts w:ascii="Arial" w:cs="Arial" w:eastAsia="Arial" w:hAnsi="Arial"/>
          <w:sz w:val="17"/>
          <w:szCs w:val="17"/>
          <w:b w:val="1"/>
          <w:bCs w:val="1"/>
          <w:color w:val="auto"/>
        </w:rPr>
        <w:t>“We will require significant 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funding and may be unable to raise capital when needed, which could force us to delay, reduce or eliminate planned activities, including the planned acquisition of The Switch Engineering Oy,” “If we fail to complete the planned acquisition of The Switch, our operating results and financial condition could be harmed and the price of our common stock could decline” </w:t>
      </w:r>
      <w:r>
        <w:rPr>
          <w:rFonts w:ascii="Arial" w:cs="Arial" w:eastAsia="Arial" w:hAnsi="Arial"/>
          <w:sz w:val="17"/>
          <w:szCs w:val="17"/>
          <w:color w:val="auto"/>
        </w:rPr>
        <w:t>and</w:t>
      </w:r>
      <w:r>
        <w:rPr>
          <w:rFonts w:ascii="Arial" w:cs="Arial" w:eastAsia="Arial" w:hAnsi="Arial"/>
          <w:sz w:val="17"/>
          <w:szCs w:val="17"/>
          <w:b w:val="1"/>
          <w:bCs w:val="1"/>
          <w:color w:val="auto"/>
        </w:rPr>
        <w:t xml:space="preserve"> “Completion of the planned acquisition of The Switch could present certain risks” </w:t>
      </w:r>
      <w:r>
        <w:rPr>
          <w:rFonts w:ascii="Arial" w:cs="Arial" w:eastAsia="Arial" w:hAnsi="Arial"/>
          <w:sz w:val="17"/>
          <w:szCs w:val="17"/>
          <w:color w:val="auto"/>
        </w:rPr>
        <w:t>following the Company’s termination of its agreement to acquire The Switch due to adverse market conditions for a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fund the acquisition. In addition, we have added the following risk factor: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funding in the future and may be unable to raise capital when needed.</w:t>
      </w:r>
    </w:p>
    <w:p>
      <w:pPr>
        <w:spacing w:after="0" w:line="117"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of September 30, 2011, we had approximately $108.3 million of cash, cash equivalents, marketable securities and restricted cash. We plan to continue to closely monitor our expenses and if required, will further reduce operating costs and capital spending to enhance liquidity. We believe that our available cash, together with additional reductions in operating costs and capital expenditures as necessary will be sufficient to fund our operations, capital expenditures and other cash requirements for at least the next twelve months. Our long-term liquidity is dependent on our ability to profitably grow our revenues or raise additional capital as required. If necessary, we may seek financing through public or private equity offerings, debt financings, or other financing alternatives. However, there can be no assurance that financing will be available on acceptable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AMERICAN SUPERCONDUCTOR CORPORATION</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vMerge w:val="restart"/>
          </w:tcPr>
          <w:p>
            <w:pPr>
              <w:spacing w:after="0"/>
              <w:rPr>
                <w:sz w:val="20"/>
                <w:szCs w:val="20"/>
                <w:color w:val="auto"/>
              </w:rPr>
            </w:pPr>
            <w:r>
              <w:rPr>
                <w:rFonts w:ascii="Arial" w:cs="Arial" w:eastAsia="Arial" w:hAnsi="Arial"/>
                <w:sz w:val="18"/>
                <w:szCs w:val="18"/>
                <w:color w:val="auto"/>
              </w:rPr>
              <w:t>Date: November 9,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David A. Henry</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Henry</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50"/>
              <w:spacing w:after="0"/>
              <w:rPr>
                <w:sz w:val="20"/>
                <w:szCs w:val="20"/>
                <w:color w:val="auto"/>
              </w:rPr>
            </w:pPr>
            <w:r>
              <w:rPr>
                <w:rFonts w:ascii="Arial" w:cs="Arial" w:eastAsia="Arial" w:hAnsi="Arial"/>
                <w:sz w:val="18"/>
                <w:szCs w:val="18"/>
                <w:color w:val="auto"/>
              </w:rPr>
              <w:t>38</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4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20"/>
              <w:spacing w:after="0"/>
              <w:rPr>
                <w:sz w:val="20"/>
                <w:szCs w:val="20"/>
                <w:color w:val="auto"/>
              </w:rPr>
            </w:pPr>
            <w:r>
              <w:rPr>
                <w:rFonts w:ascii="Arial" w:cs="Arial" w:eastAsia="Arial" w:hAnsi="Arial"/>
                <w:sz w:val="18"/>
                <w:szCs w:val="18"/>
                <w:color w:val="auto"/>
              </w:rPr>
              <w:t>Severance Agreement dated as of July 26, 2011 between the Registrant and John R. Collett</w:t>
            </w:r>
          </w:p>
        </w:tc>
      </w:tr>
      <w:tr>
        <w:trPr>
          <w:trHeight w:val="431"/>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20"/>
              <w:spacing w:after="0"/>
              <w:rPr>
                <w:sz w:val="20"/>
                <w:szCs w:val="20"/>
                <w:color w:val="auto"/>
              </w:rPr>
            </w:pPr>
            <w:r>
              <w:rPr>
                <w:rFonts w:ascii="Arial" w:cs="Arial" w:eastAsia="Arial" w:hAnsi="Arial"/>
                <w:sz w:val="18"/>
                <w:szCs w:val="18"/>
                <w:color w:val="auto"/>
              </w:rPr>
              <w:t>Severance Agreement dated as of September 12, 2011 between the Registrant and Charles W. Stankiewicz</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20"/>
              <w:spacing w:after="0"/>
              <w:rPr>
                <w:sz w:val="20"/>
                <w:szCs w:val="20"/>
                <w:color w:val="auto"/>
              </w:rPr>
            </w:pPr>
            <w:r>
              <w:rPr>
                <w:rFonts w:ascii="Arial" w:cs="Arial" w:eastAsia="Arial" w:hAnsi="Arial"/>
                <w:sz w:val="18"/>
                <w:szCs w:val="18"/>
                <w:color w:val="auto"/>
              </w:rPr>
              <w:t>Executive Incentive Plan for the fiscal year ending March 31, 2012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20"/>
              <w:spacing w:after="0"/>
              <w:rPr>
                <w:sz w:val="20"/>
                <w:szCs w:val="20"/>
                <w:color w:val="auto"/>
              </w:rPr>
            </w:pPr>
            <w:r>
              <w:rPr>
                <w:rFonts w:ascii="Arial" w:cs="Arial" w:eastAsia="Arial" w:hAnsi="Arial"/>
                <w:sz w:val="18"/>
                <w:szCs w:val="18"/>
                <w:color w:val="auto"/>
                <w:w w:val="95"/>
              </w:rPr>
              <w:t>Chief Executive Officer—Certification pursuant to Rule 13a-14(a) or Rule 15d-14(a) of the Securities Exchange Act of 1934, as adopted</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20"/>
              <w:spacing w:after="0"/>
              <w:rPr>
                <w:sz w:val="20"/>
                <w:szCs w:val="20"/>
                <w:color w:val="auto"/>
              </w:rPr>
            </w:pPr>
            <w:r>
              <w:rPr>
                <w:rFonts w:ascii="Arial" w:cs="Arial" w:eastAsia="Arial" w:hAnsi="Arial"/>
                <w:sz w:val="18"/>
                <w:szCs w:val="18"/>
                <w:color w:val="auto"/>
                <w:w w:val="95"/>
              </w:rPr>
              <w:t>Chief Financial Officer—Certification pursuant to Rule 13a-14(a) or Rule 15d-14(a) of the Securities Exchange Act of 1934, as adopted</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20"/>
              <w:spacing w:after="0"/>
              <w:rPr>
                <w:sz w:val="20"/>
                <w:szCs w:val="20"/>
                <w:color w:val="auto"/>
              </w:rPr>
            </w:pPr>
            <w:r>
              <w:rPr>
                <w:rFonts w:ascii="Arial" w:cs="Arial" w:eastAsia="Arial" w:hAnsi="Arial"/>
                <w:sz w:val="18"/>
                <w:szCs w:val="18"/>
                <w:color w:val="auto"/>
                <w:w w:val="93"/>
              </w:rPr>
              <w:t>Chief Executive Officer—Certification pursuant to Rule13a-14(b) or Rule 15d-14(b) of the Securities Exchange Act of 1934 and 18 U.S.C.</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20"/>
              <w:spacing w:after="0"/>
              <w:rPr>
                <w:sz w:val="20"/>
                <w:szCs w:val="20"/>
                <w:color w:val="auto"/>
              </w:rPr>
            </w:pPr>
            <w:r>
              <w:rPr>
                <w:rFonts w:ascii="Arial" w:cs="Arial" w:eastAsia="Arial" w:hAnsi="Arial"/>
                <w:sz w:val="18"/>
                <w:szCs w:val="18"/>
                <w:color w:val="auto"/>
                <w:w w:val="93"/>
              </w:rPr>
              <w:t>Chief Financial Officer—Certification pursuant to Rule 13a-14(b) or Rule 15d-14(b) of the Securities Exchange Act of 1934 and 18 U.S.C.</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Presentation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Attached as Exhibits 101 to this report are the following formatted in XBRL (Extensible Business Reporting Language): (i) Condensed Consolidated Statements of Income for the three and six months ended September 30, 2011 and 2010, (ii) Condensed Consolidated Balance Sheets as of September 30, 2011 and March 31, 2011, (iii) Condensed Consolidated Statements of Comprehensive (Loss) Income for the three and six months ended September 30, 2011 and 2010, (iv) Condensed Consolidated Statements of Cash Flows for the six months ended September 30, 2011 and 2010, and (v) Notes to Condensed Consolidated Financial Statements.</w:t>
      </w:r>
    </w:p>
    <w:p>
      <w:pPr>
        <w:spacing w:after="0" w:line="8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1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AGREEMENT</w:t>
      </w:r>
    </w:p>
    <w:p>
      <w:pPr>
        <w:spacing w:after="0" w:line="121"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This Severance Agreement (the “Agreement”) is made as of this 26</w:t>
      </w:r>
      <w:r>
        <w:rPr>
          <w:rFonts w:ascii="Arial" w:cs="Arial" w:eastAsia="Arial" w:hAnsi="Arial"/>
          <w:sz w:val="15"/>
          <w:szCs w:val="15"/>
          <w:color w:val="auto"/>
        </w:rPr>
        <w:t>th</w:t>
      </w:r>
      <w:r>
        <w:rPr>
          <w:rFonts w:ascii="Arial" w:cs="Arial" w:eastAsia="Arial" w:hAnsi="Arial"/>
          <w:sz w:val="18"/>
          <w:szCs w:val="18"/>
          <w:color w:val="auto"/>
        </w:rPr>
        <w:t xml:space="preserve"> day of July, 2011 by and between American Superconductor Corporation (the “Company”), and John R. Collett (the “Executive”).</w:t>
      </w:r>
    </w:p>
    <w:p>
      <w:pPr>
        <w:spacing w:after="0" w:line="58" w:lineRule="exact"/>
        <w:rPr>
          <w:sz w:val="20"/>
          <w:szCs w:val="20"/>
          <w:color w:val="auto"/>
        </w:rPr>
      </w:pPr>
    </w:p>
    <w:p>
      <w:pPr>
        <w:ind w:left="240" w:right="3320"/>
        <w:spacing w:after="0" w:line="3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currently serves as the Company’s Senior Vice President, Chief Strategy Officer;</w:t>
      </w:r>
      <w:r>
        <w:rPr>
          <w:rFonts w:ascii="Arial" w:cs="Arial" w:eastAsia="Arial" w:hAnsi="Arial"/>
          <w:sz w:val="18"/>
          <w:szCs w:val="18"/>
          <w:b w:val="1"/>
          <w:bCs w:val="1"/>
          <w:color w:val="auto"/>
        </w:rPr>
        <w:t xml:space="preserve"> WHEREAS</w:t>
      </w:r>
      <w:r>
        <w:rPr>
          <w:rFonts w:ascii="Arial" w:cs="Arial" w:eastAsia="Arial" w:hAnsi="Arial"/>
          <w:sz w:val="18"/>
          <w:szCs w:val="18"/>
          <w:color w:val="auto"/>
        </w:rPr>
        <w:t>, the Executive wishes to resign his position from the Company;</w:t>
      </w:r>
    </w:p>
    <w:p>
      <w:pPr>
        <w:spacing w:after="0" w:line="1"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believe that it is in both of their interests for the Executive to terminate his employment on July 22, 2011(the</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Date”) pursuant to the provisions set forth in this Agreement;</w:t>
      </w:r>
    </w:p>
    <w:p>
      <w:pPr>
        <w:spacing w:after="0" w:line="54" w:lineRule="exact"/>
        <w:rPr>
          <w:sz w:val="20"/>
          <w:szCs w:val="20"/>
          <w:color w:val="auto"/>
        </w:rPr>
      </w:pPr>
    </w:p>
    <w:p>
      <w:pPr>
        <w:jc w:val="both"/>
        <w:ind w:right="40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previously delivered this Agreement to the Executive on June 13, 2011, and since such time the parties have negotiated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and agreed to modify the Agreement, and the Company has secured the necessary approval, to provide for the accelerated vesting of all of the 47,200 shares of restricted stock held by the Executive as set forth in Paragraph 2(b) below;</w:t>
      </w:r>
    </w:p>
    <w:p>
      <w:pPr>
        <w:spacing w:after="0" w:line="68"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agreed to continue to employ the Executive through the Resignation Date and to offer the Executive the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set forth in Paragraph 2 below, provided that he signs and returns this Agreement to the Company no earlier than the Resignation Date but no later than August 12th, 2011 and does not revoke it;</w:t>
      </w:r>
    </w:p>
    <w:p>
      <w:pPr>
        <w:spacing w:after="0" w:line="68"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Executive’s Resignation Date he will be paid his 192 hours of earned but unused vacation and for his business expenses and that he has</w:t>
      </w:r>
      <w:r>
        <w:rPr>
          <w:rFonts w:ascii="Arial" w:cs="Arial" w:eastAsia="Arial" w:hAnsi="Arial"/>
          <w:sz w:val="18"/>
          <w:szCs w:val="18"/>
          <w:b w:val="1"/>
          <w:bCs w:val="1"/>
          <w:color w:val="auto"/>
        </w:rPr>
        <w:t xml:space="preserve"> </w:t>
      </w:r>
      <w:r>
        <w:rPr>
          <w:rFonts w:ascii="Arial" w:cs="Arial" w:eastAsia="Arial" w:hAnsi="Arial"/>
          <w:sz w:val="18"/>
          <w:szCs w:val="18"/>
          <w:color w:val="auto"/>
        </w:rPr>
        <w:t>returned to the Company all Company property. Executive further confirms that he will transfer the phone number as of the July 31, 2011 on his Blackberry to a personal account;</w:t>
      </w:r>
    </w:p>
    <w:p>
      <w:pPr>
        <w:spacing w:after="0" w:line="68" w:lineRule="exact"/>
        <w:rPr>
          <w:sz w:val="20"/>
          <w:szCs w:val="20"/>
          <w:color w:val="auto"/>
        </w:rPr>
      </w:pPr>
    </w:p>
    <w:p>
      <w:pPr>
        <w:ind w:left="240" w:right="132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advised the Executive to consult with an attorney of his own choosing prior to executing this Agreement;</w:t>
      </w:r>
      <w:r>
        <w:rPr>
          <w:rFonts w:ascii="Arial" w:cs="Arial" w:eastAsia="Arial" w:hAnsi="Arial"/>
          <w:sz w:val="16"/>
          <w:szCs w:val="16"/>
          <w:b w:val="1"/>
          <w:bCs w:val="1"/>
          <w:color w:val="auto"/>
        </w:rPr>
        <w:t xml:space="preserve"> NOW, THEREFORE</w:t>
      </w:r>
      <w:r>
        <w:rPr>
          <w:rFonts w:ascii="Arial" w:cs="Arial" w:eastAsia="Arial" w:hAnsi="Arial"/>
          <w:sz w:val="16"/>
          <w:szCs w:val="16"/>
          <w:color w:val="auto"/>
        </w:rPr>
        <w:t>, in consideration of the foregoing and the mutual covenants contained herein, the parties agree as follows.</w:t>
      </w:r>
    </w:p>
    <w:p>
      <w:pPr>
        <w:spacing w:after="0" w:line="1" w:lineRule="exact"/>
        <w:rPr>
          <w:sz w:val="20"/>
          <w:szCs w:val="20"/>
          <w:color w:val="auto"/>
        </w:rPr>
      </w:pPr>
    </w:p>
    <w:p>
      <w:pPr>
        <w:ind w:left="340" w:right="480" w:hanging="332"/>
        <w:spacing w:after="0" w:line="266"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the Executive timely signs and returns this Agreement no earlier than his Resignation Date, and does not revoke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will provide him, subject to the terms and conditions set forth in Attachment A, the following severance benefits (the “Severance Benefits”):</w:t>
      </w:r>
    </w:p>
    <w:p>
      <w:pPr>
        <w:spacing w:after="0" w:line="72" w:lineRule="exact"/>
        <w:rPr>
          <w:rFonts w:ascii="Arial" w:cs="Arial" w:eastAsia="Arial" w:hAnsi="Arial"/>
          <w:sz w:val="18"/>
          <w:szCs w:val="18"/>
          <w:b w:val="1"/>
          <w:bCs w:val="1"/>
          <w:color w:val="auto"/>
        </w:rPr>
      </w:pPr>
    </w:p>
    <w:p>
      <w:pPr>
        <w:ind w:left="700" w:right="600" w:hanging="7"/>
        <w:spacing w:after="0" w:line="277" w:lineRule="auto"/>
        <w:tabs>
          <w:tab w:leader="none" w:pos="87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The Company will pay to the Executive $375,000, less all applicable taxes and withholdings, as severance pay (an amount equivalent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452" w:right="200"/>
        <w:spacing w:after="0" w:line="259" w:lineRule="auto"/>
        <w:rPr>
          <w:sz w:val="20"/>
          <w:szCs w:val="20"/>
          <w:color w:val="auto"/>
        </w:rPr>
      </w:pPr>
      <w:r>
        <w:rPr>
          <w:rFonts w:ascii="Arial" w:cs="Arial" w:eastAsia="Arial" w:hAnsi="Arial"/>
          <w:sz w:val="18"/>
          <w:szCs w:val="18"/>
          <w:color w:val="auto"/>
        </w:rPr>
        <w:t>eighteen (18) months of his current base salary) (the “Severance Pay”). The Severance Pay will be paid as salary continuation in accordance with the Company’s normal payroll practices, but in no event shall payment begin earlier than the eighth (8th) day after the Executive’s execution of the Agreement (provided he has not revoked his acceptance of the Agreement). If Executive dies before receiving the entire Severance Pay, the balance will be paid to his wife, if she is not alive at the time, to his estate.</w:t>
      </w:r>
    </w:p>
    <w:p>
      <w:pPr>
        <w:spacing w:after="0" w:line="79" w:lineRule="exact"/>
        <w:rPr>
          <w:sz w:val="20"/>
          <w:szCs w:val="20"/>
          <w:color w:val="auto"/>
        </w:rPr>
      </w:pPr>
    </w:p>
    <w:p>
      <w:pPr>
        <w:ind w:left="452" w:right="8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Accelerated Vesting of Restricted Stock</w:t>
      </w:r>
      <w:r>
        <w:rPr>
          <w:rFonts w:ascii="Arial" w:cs="Arial" w:eastAsia="Arial" w:hAnsi="Arial"/>
          <w:sz w:val="18"/>
          <w:szCs w:val="18"/>
          <w:color w:val="auto"/>
        </w:rPr>
        <w:t>. The Compensation Committee of the Board of Directors of the Company has approved that on the eighth (8th) day after the Executive’s execution and timely return of the Agreement (provided he has not revoked his acceptance of the Agreement), the Executive shall become fully vested in all of the 47,200 shares of restricted stock that remain unvested from the Executive’s (i) October 19, 2009 grant of 40,000 shares of restricted stock; and (ii) May 12, 2010 grant of 10,800 shares of restricted stock, pursuant to the Company’s 2007 Stock Incentive Plan, as amended.</w:t>
      </w:r>
    </w:p>
    <w:p>
      <w:pPr>
        <w:spacing w:after="0" w:line="80" w:lineRule="exact"/>
        <w:rPr>
          <w:sz w:val="20"/>
          <w:szCs w:val="20"/>
          <w:color w:val="auto"/>
        </w:rPr>
      </w:pPr>
    </w:p>
    <w:p>
      <w:pPr>
        <w:ind w:left="452"/>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COBRA Continuation</w:t>
      </w:r>
      <w:r>
        <w:rPr>
          <w:rFonts w:ascii="Arial" w:cs="Arial" w:eastAsia="Arial" w:hAnsi="Arial"/>
          <w:sz w:val="17"/>
          <w:szCs w:val="17"/>
          <w:color w:val="auto"/>
        </w:rPr>
        <w:t xml:space="preserve">. Provided the Executive is eligible for and timely elects to continue receiving group medical insurance pursuant to the federal “COBRA” law, 29 U.S.C. § 1161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for so long as he does not become eligible for coverage under another group health plan maintained by a subsequent employer, for a period of up to eighteen (18) months following the Resignation Date, the Company shall pay the share of the premium for family health and family dental coverage that is paid by the Company for active and similarly situated employees who receive the same type of coverage; provided, however, that (i) the Company and the Executive mutually agree that if such payments by the Company would cause the Company to be subject to material tax liability or penalties, the parties will make reasonable efforts to restructure the arrangement consistent with the intent of this provision so as to avoid such adverse tax consequence, and (ii) to the extent such benefits cannot be provided to non-employees, then the Executive will receive the cash equivalent thereof, based on the cost thereof to the Company, paid proportionately over an eighteen (18) month period. All other Company benefits will end on the Resignation Date.</w:t>
      </w:r>
    </w:p>
    <w:p>
      <w:pPr>
        <w:spacing w:after="0" w:line="70" w:lineRule="exact"/>
        <w:rPr>
          <w:sz w:val="20"/>
          <w:szCs w:val="20"/>
          <w:color w:val="auto"/>
        </w:rPr>
      </w:pPr>
    </w:p>
    <w:p>
      <w:pPr>
        <w:ind w:left="332" w:right="40" w:hanging="332"/>
        <w:spacing w:after="0" w:line="256"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of Claims</w:t>
      </w:r>
      <w:r>
        <w:rPr>
          <w:rFonts w:ascii="Arial" w:cs="Arial" w:eastAsia="Arial" w:hAnsi="Arial"/>
          <w:sz w:val="18"/>
          <w:szCs w:val="18"/>
          <w:color w:val="auto"/>
        </w:rPr>
        <w:t>. In consideration of the Executive’s continued employment with the Company through the Resignation Date and the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which the Executive acknowledges he would not otherwise be entitled to receive, the Executive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w:t>
      </w:r>
    </w:p>
    <w:p>
      <w:pPr>
        <w:spacing w:after="0" w:line="164" w:lineRule="exact"/>
        <w:rPr>
          <w:rFonts w:ascii="Arial" w:cs="Arial" w:eastAsia="Arial" w:hAnsi="Arial"/>
          <w:sz w:val="18"/>
          <w:szCs w:val="18"/>
          <w:color w:val="auto"/>
        </w:rPr>
      </w:pPr>
    </w:p>
    <w:p>
      <w:pPr>
        <w:ind w:left="5652" w:hanging="96"/>
        <w:spacing w:after="0"/>
        <w:tabs>
          <w:tab w:leader="none" w:pos="56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2" w:name="page43"/>
    <w:bookmarkEnd w:id="42"/>
    <w:p>
      <w:pPr>
        <w:ind w:left="332" w:right="20"/>
        <w:spacing w:after="0" w:line="286" w:lineRule="auto"/>
        <w:rPr>
          <w:sz w:val="20"/>
          <w:szCs w:val="20"/>
          <w:color w:val="auto"/>
        </w:rPr>
      </w:pPr>
      <w:r>
        <w:rPr>
          <w:rFonts w:ascii="Arial" w:cs="Arial" w:eastAsia="Arial" w:hAnsi="Arial"/>
          <w:sz w:val="16"/>
          <w:szCs w:val="16"/>
          <w:color w:val="auto"/>
        </w:rPr>
        <w:t>causes of action, suits, rights, debts, sums of money, costs, accounts, reckonings, covenants, contracts, agreements, promises, doings, omissions, damages, executions, obligations, liabilities, and expenses (including attorneys’ fees and costs), of every kind and nature that the Executive ever had or now has against any or all of the Released Parties, including, but not limited to, any and all claims arising out of or relating to the Executive’s employment with and/or separation from the Company, including, but not limited to, all claims under Title VII of the Civil Rights Act of 1964, 42 U.S.C.</w:t>
      </w:r>
    </w:p>
    <w:p>
      <w:pPr>
        <w:spacing w:after="0" w:line="2" w:lineRule="exact"/>
        <w:rPr>
          <w:sz w:val="20"/>
          <w:szCs w:val="20"/>
          <w:color w:val="auto"/>
        </w:rPr>
      </w:pPr>
    </w:p>
    <w:p>
      <w:pPr>
        <w:ind w:left="332" w:hanging="8"/>
        <w:spacing w:after="0" w:line="284" w:lineRule="auto"/>
        <w:tabs>
          <w:tab w:leader="none" w:pos="467"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Age Discrimination in Employment Act, 29 U.S.C. §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of 1990, 42 U.S.C. § 12101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xml:space="preserve">, the Genetic Information Nondiscrimination Act of 2008, 42 U.S.C. § 2000ff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Family and Medical Leave Act, 29 U.S.C. §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Worker Adjustment and Retraining Notification Act (“WARN”), 29 U.S.C. § 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Rehabilitation Act of 1973, 29 U.S.C. § 701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Executive Order 11246, Executive Order 11141, the Fair Credit Reporting Act, 15 U.S.C. § 1681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Employee Retirement Income Security Act of 1974 (“ERISA”), 29 U.S.C. § 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all as amended; all claims arising out of the Massachusetts Fair Employment Practices Act., Mass. Gen. Laws ch. 151B, § 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Massachusetts Civil Rights Act, Mass. Gen. Laws ch. 12, §§ 11H and 11I, the Massachusetts Equal Rights Act, Mass. Gen. Laws. ch. 93, § 102 and Mass. Gen. Laws ch. 214, § 1C, the Massachusetts Labor and Industries Act, Mass. Gen. Laws ch. 149, § 1 </w:t>
      </w:r>
      <w:r>
        <w:rPr>
          <w:rFonts w:ascii="Arial" w:cs="Arial" w:eastAsia="Arial" w:hAnsi="Arial"/>
          <w:sz w:val="16"/>
          <w:szCs w:val="16"/>
          <w:u w:val="single" w:color="auto"/>
          <w:color w:val="auto"/>
        </w:rPr>
        <w:t>et seq.</w:t>
      </w:r>
      <w:r>
        <w:rPr>
          <w:rFonts w:ascii="Arial" w:cs="Arial" w:eastAsia="Arial" w:hAnsi="Arial"/>
          <w:sz w:val="16"/>
          <w:szCs w:val="16"/>
          <w:color w:val="auto"/>
        </w:rPr>
        <w:t>, Mass. Gen. Laws ch. 214, § 1B (Massachusetts right of privacy law), the Massachusetts Maternity Leave Act, Mass. Gen. Laws ch. 149, § 105D, and the Massachusetts Small Necessities Leave Act, Mass. Gen. Laws ch. 149, § 52D, all as amended; all common law claims including, but not limited to, actions in defamation, intentional infliction of emotional distress, misrepresentation, fraud, wrongful discharge, and breach of contract (including, without limitation, all claims arising out of or related to the Executive’s September 20, 2009 Offer letter (the “Offer Letter”) and May 18, 2010 Executive Severance Agreement (the “Executive Severance Agreement”); all claims to any non-vested ownership interest in the Company, contractual or otherwise; and any claim or damage arising out of the Executive’s employment with and/or separation from the Company (including a claim for retaliation) under any common law theory or any federal, state or local statute or ordinance not expressly referenced above; provided, however, that nothing in this Agreement prevents the Executive from filing a charge with, cooperating with, or participating in any proceeding before the Equal Employment Opportunity Commission or a state fair employment practices agency (except that the Executive acknowledges that he may not recover any monetary benefits in connection with any such claim, charge or proceeding). Notwithstanding anything to the contrary, Executive is not releasing his rights and/or claims for vested benefits including but not limited to Executive’s 401K, indemnification pursuant to the company’s Amended and Restated By-Laws in effect as of the date hereof, COBRA, unemployment compensation which the Company will not contest. Further, Executive is not releasing his claims for breach of this Agreement.</w:t>
      </w:r>
    </w:p>
    <w:p>
      <w:pPr>
        <w:spacing w:after="0" w:line="274" w:lineRule="exact"/>
        <w:rPr>
          <w:rFonts w:ascii="Arial" w:cs="Arial" w:eastAsia="Arial" w:hAnsi="Arial"/>
          <w:sz w:val="16"/>
          <w:szCs w:val="16"/>
          <w:color w:val="auto"/>
        </w:rPr>
      </w:pPr>
    </w:p>
    <w:p>
      <w:pPr>
        <w:ind w:left="332" w:right="620" w:hanging="332"/>
        <w:spacing w:after="0" w:line="313" w:lineRule="auto"/>
        <w:tabs>
          <w:tab w:leader="none" w:pos="332"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Business Expenses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 The Executive acknowledges that he has been reimbursed by the Company for all business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conjunction with the performance of his employment other than expenses that were submitted on or about</w:t>
      </w:r>
    </w:p>
    <w:p>
      <w:pPr>
        <w:spacing w:after="0" w:line="115" w:lineRule="exact"/>
        <w:rPr>
          <w:rFonts w:ascii="Arial" w:cs="Arial" w:eastAsia="Arial" w:hAnsi="Arial"/>
          <w:sz w:val="17"/>
          <w:szCs w:val="17"/>
          <w:color w:val="auto"/>
        </w:rPr>
      </w:pPr>
    </w:p>
    <w:p>
      <w:pPr>
        <w:ind w:left="5652" w:hanging="96"/>
        <w:spacing w:after="0"/>
        <w:tabs>
          <w:tab w:leader="none" w:pos="56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3" w:name="page44"/>
    <w:bookmarkEnd w:id="43"/>
    <w:p>
      <w:pPr>
        <w:ind w:left="332" w:right="460"/>
        <w:spacing w:after="0" w:line="264" w:lineRule="auto"/>
        <w:rPr>
          <w:sz w:val="20"/>
          <w:szCs w:val="20"/>
          <w:color w:val="auto"/>
        </w:rPr>
      </w:pPr>
      <w:r>
        <w:rPr>
          <w:rFonts w:ascii="Arial" w:cs="Arial" w:eastAsia="Arial" w:hAnsi="Arial"/>
          <w:sz w:val="18"/>
          <w:szCs w:val="18"/>
          <w:color w:val="auto"/>
        </w:rPr>
        <w:t>July 21, 2011 and that no other reimbursements are owed to him other than those submitted on or about July 21, 2011. The Executive further acknowledges that he has received payment in full for all services rendered in conjunction with his employment by the Company and that no other compensation is owed to him except as provided in this Agreement.</w:t>
      </w:r>
    </w:p>
    <w:p>
      <w:pPr>
        <w:spacing w:after="0" w:line="69" w:lineRule="exact"/>
        <w:rPr>
          <w:sz w:val="20"/>
          <w:szCs w:val="20"/>
          <w:color w:val="auto"/>
        </w:rPr>
      </w:pPr>
    </w:p>
    <w:p>
      <w:pPr>
        <w:ind w:left="332" w:hanging="332"/>
        <w:spacing w:after="0" w:line="254"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confirms that he has returned to the Company all keys, files, records (and copies thereof),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computer hardware, software and printers, wireless handheld devices, cellular phones, pagers, etc.), Company identification, Company vehicles and any other Company-owned property in his possession or control and has left intact all electronic Company documents, including but not limited to those that the Executive developed or helped to develop during his employment. Other than with respect to computer accounts or professional subscriptions in the Company’s name for the Executive’s benefit, the Executive further confirms that he has cancelled all other accounts for his benefit, if any, in the Company’s name, including but not limited to, credit cards, telephone charge cards, cellular phone and/or pager accounts. With respect to such computer accounts or professional subscriptions, if any, the Executive further agrees to work with the Company to make sure that such computer accounts or professional subscriptions are cancelled as soon as practicable after the Resignation Date. The Company will work with him to allow him to retain his personal and general business information as well as personal and general business contacts from his Company computer.</w:t>
      </w:r>
    </w:p>
    <w:p>
      <w:pPr>
        <w:spacing w:after="0" w:line="91" w:lineRule="exact"/>
        <w:rPr>
          <w:rFonts w:ascii="Arial" w:cs="Arial" w:eastAsia="Arial" w:hAnsi="Arial"/>
          <w:sz w:val="18"/>
          <w:szCs w:val="18"/>
          <w:color w:val="auto"/>
        </w:rPr>
      </w:pPr>
    </w:p>
    <w:p>
      <w:pPr>
        <w:ind w:left="332" w:right="220" w:hanging="332"/>
        <w:spacing w:after="0" w:line="298" w:lineRule="auto"/>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The Executive acknowledges and reaffirms his obligation to keep confidential and not to disclose any and all non-public</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concerning the Company that he acquired during the course of his employment with the Company, including, but not limited to, any non-public information concerning the Company’s business affairs, business prospects and financial condition. The Executive further acknowledges and reaffirms his obligations set forth in the Employee Non-Disclosure and Developments Agreement he executed for the benefit of the Company, which remain in full force and effect. The Company acknowledges that the Executive has no non-compete obligations to the Company.</w:t>
      </w:r>
    </w:p>
    <w:p>
      <w:pPr>
        <w:spacing w:after="0" w:line="59" w:lineRule="exact"/>
        <w:rPr>
          <w:rFonts w:ascii="Arial" w:cs="Arial" w:eastAsia="Arial" w:hAnsi="Arial"/>
          <w:sz w:val="16"/>
          <w:szCs w:val="16"/>
          <w:color w:val="auto"/>
        </w:rPr>
      </w:pPr>
    </w:p>
    <w:p>
      <w:pPr>
        <w:ind w:left="332" w:hanging="332"/>
        <w:spacing w:after="0" w:line="290" w:lineRule="auto"/>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b w:val="1"/>
          <w:bCs w:val="1"/>
          <w:color w:val="auto"/>
        </w:rPr>
        <w:t xml:space="preserve">. </w:t>
      </w:r>
      <w:r>
        <w:rPr>
          <w:rFonts w:ascii="Arial" w:cs="Arial" w:eastAsia="Arial" w:hAnsi="Arial"/>
          <w:sz w:val="16"/>
          <w:szCs w:val="16"/>
          <w:color w:val="auto"/>
        </w:rPr>
        <w:t>— The Executive understands and agree that, as a condition of the consideration described herein, he shall not make any false,</w:t>
      </w:r>
      <w:r>
        <w:rPr>
          <w:rFonts w:ascii="Arial" w:cs="Arial" w:eastAsia="Arial" w:hAnsi="Arial"/>
          <w:sz w:val="16"/>
          <w:szCs w:val="16"/>
          <w:b w:val="1"/>
          <w:bCs w:val="1"/>
          <w:color w:val="auto"/>
        </w:rPr>
        <w:t xml:space="preserve"> </w:t>
      </w:r>
      <w:r>
        <w:rPr>
          <w:rFonts w:ascii="Arial" w:cs="Arial" w:eastAsia="Arial" w:hAnsi="Arial"/>
          <w:sz w:val="16"/>
          <w:szCs w:val="16"/>
          <w:color w:val="auto"/>
        </w:rPr>
        <w:t>disparaging or derogatory statements to any media outlet, industry group, financial institution or current or former employee, consultant, client or customer of the Company regarding the Company or any of its current or former directors, officers, employees, agents or representatives or about the Company’s business affairs or financial condition. The Company agrees to instruct its Senior Management and Board not make any false, disparaging or derogatory statements to any media outlet, industry group, financial institution or current or former employee, consultant, client or customer of the Company regarding the Executive. Further, the Company acknowledges that it will provide an agreed upon oral job performance reference as follows: “John was an outstanding addition to our senior management team during his nearly two years with AMSC. We were sorry to see him leave. John exhibited great partnership, strong leadership, a keen insight on market dynamics, superior negotiating and execution capability and an outstanding work ethic.” The Company will provide this reference for up to 12 months from the Resignation Date and the Executive shall forward all</w:t>
      </w:r>
    </w:p>
    <w:p>
      <w:pPr>
        <w:spacing w:after="0" w:line="136" w:lineRule="exact"/>
        <w:rPr>
          <w:rFonts w:ascii="Arial" w:cs="Arial" w:eastAsia="Arial" w:hAnsi="Arial"/>
          <w:sz w:val="16"/>
          <w:szCs w:val="16"/>
          <w:color w:val="auto"/>
        </w:rPr>
      </w:pPr>
    </w:p>
    <w:p>
      <w:pPr>
        <w:ind w:left="5652" w:hanging="96"/>
        <w:spacing w:after="0"/>
        <w:tabs>
          <w:tab w:leader="none" w:pos="56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6" w:right="319" w:bottom="1440" w:gutter="0" w:footer="0" w:header="0"/>
        </w:sectPr>
      </w:pPr>
    </w:p>
    <w:bookmarkStart w:id="44" w:name="page45"/>
    <w:bookmarkEnd w:id="44"/>
    <w:p>
      <w:pPr>
        <w:ind w:left="332" w:right="420"/>
        <w:spacing w:after="0" w:line="308" w:lineRule="auto"/>
        <w:rPr>
          <w:sz w:val="20"/>
          <w:szCs w:val="20"/>
          <w:color w:val="auto"/>
        </w:rPr>
      </w:pPr>
      <w:r>
        <w:rPr>
          <w:rFonts w:ascii="Arial" w:cs="Arial" w:eastAsia="Arial" w:hAnsi="Arial"/>
          <w:sz w:val="17"/>
          <w:szCs w:val="17"/>
          <w:color w:val="auto"/>
        </w:rPr>
        <w:t>requests for a reference to Susan DiCecco or Daniel McGahn, or their successors if any. The Company also agrees to allow Executive to review and approve both public and internal communications regarding his departure before such communications are released.</w:t>
      </w:r>
    </w:p>
    <w:p>
      <w:pPr>
        <w:spacing w:after="0" w:line="34" w:lineRule="exact"/>
        <w:rPr>
          <w:sz w:val="20"/>
          <w:szCs w:val="20"/>
          <w:color w:val="auto"/>
        </w:rPr>
      </w:pPr>
    </w:p>
    <w:p>
      <w:pPr>
        <w:ind w:left="332" w:right="200" w:hanging="332"/>
        <w:spacing w:after="0" w:line="258"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Assistance</w:t>
      </w:r>
      <w:r>
        <w:rPr>
          <w:rFonts w:ascii="Arial" w:cs="Arial" w:eastAsia="Arial" w:hAnsi="Arial"/>
          <w:sz w:val="18"/>
          <w:szCs w:val="18"/>
          <w:b w:val="1"/>
          <w:bCs w:val="1"/>
          <w:color w:val="auto"/>
        </w:rPr>
        <w:t xml:space="preserve">. — </w:t>
      </w:r>
      <w:r>
        <w:rPr>
          <w:rFonts w:ascii="Arial" w:cs="Arial" w:eastAsia="Arial" w:hAnsi="Arial"/>
          <w:sz w:val="18"/>
          <w:szCs w:val="18"/>
          <w:color w:val="auto"/>
        </w:rPr>
        <w:t>The Executive agrees that during the time period he is receiving the Severance Benefits stated in this Agreement, he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all reasonable cooperation to the Company, including but not limited to, assisting the Company in transitioning his job duties, assisting the Company in defending against and/or prosecuting any litigation or threatened litigation, and performing any other tasks as reasonably requested by the Company. The Company agrees to reimburse the Executive for reasonable business expenses incurred in such cooperation and to be reasonable in its requests for assistance.</w:t>
      </w:r>
    </w:p>
    <w:p>
      <w:pPr>
        <w:spacing w:after="0" w:line="89" w:lineRule="exact"/>
        <w:rPr>
          <w:rFonts w:ascii="Arial" w:cs="Arial" w:eastAsia="Arial" w:hAnsi="Arial"/>
          <w:sz w:val="18"/>
          <w:szCs w:val="18"/>
          <w:color w:val="auto"/>
        </w:rPr>
      </w:pPr>
    </w:p>
    <w:p>
      <w:pPr>
        <w:ind w:left="332" w:hanging="332"/>
        <w:spacing w:after="0" w:line="298"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 To the extent permitted by law, the Executive understands and agrees that, as a condition of the consideration described herein,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contents of this Agreement and the contents of the negotiations and discussions resulting in this Agreement, shall be maintained as confidential by him and his agents and representatives, including but not limited to, his attorneys and financial advisors and shall not be disclosed to any third party except as otherwise agreed to in writing by the Company. Notwithstanding the above, the Executive may share the contents of this Agreement to his immediate family (provided they agree to keep the terms confidential), the office of unemployment and taxing authorities.</w:t>
      </w:r>
    </w:p>
    <w:p>
      <w:pPr>
        <w:spacing w:after="0" w:line="59" w:lineRule="exact"/>
        <w:rPr>
          <w:rFonts w:ascii="Arial" w:cs="Arial" w:eastAsia="Arial" w:hAnsi="Arial"/>
          <w:sz w:val="16"/>
          <w:szCs w:val="16"/>
          <w:color w:val="auto"/>
        </w:rPr>
      </w:pPr>
    </w:p>
    <w:p>
      <w:pPr>
        <w:ind w:left="332" w:right="420" w:hanging="332"/>
        <w:spacing w:after="0" w:line="289"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 This Agreement shall be binding upon the parties and may not be modified in any manner, except by an instrument in writing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concurrent or subsequent date signed by duly authorized representatives of the parties hereto. This Agreement is binding upon and shall inure to the benefit of the parties and their respective agents, assigns, heirs, executors, successors and administrators.</w:t>
      </w:r>
    </w:p>
    <w:p>
      <w:pPr>
        <w:spacing w:after="0" w:line="63" w:lineRule="exact"/>
        <w:rPr>
          <w:rFonts w:ascii="Arial" w:cs="Arial" w:eastAsia="Arial" w:hAnsi="Arial"/>
          <w:sz w:val="17"/>
          <w:szCs w:val="17"/>
          <w:color w:val="auto"/>
        </w:rPr>
      </w:pPr>
    </w:p>
    <w:p>
      <w:pPr>
        <w:ind w:left="332" w:right="160" w:hanging="332"/>
        <w:spacing w:after="0" w:line="266"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 No delay or omission by the Company in exercising any right under this Agreement shall operate as a waiver of that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A waiver or consent given by the Company on any one occasion shall be effective only in that instance and shall not be construed as a bar to or waiver of any right on any other occasion.</w:t>
      </w:r>
    </w:p>
    <w:p>
      <w:pPr>
        <w:spacing w:after="0" w:line="81" w:lineRule="exact"/>
        <w:rPr>
          <w:rFonts w:ascii="Arial" w:cs="Arial" w:eastAsia="Arial" w:hAnsi="Arial"/>
          <w:sz w:val="18"/>
          <w:szCs w:val="18"/>
          <w:color w:val="auto"/>
        </w:rPr>
      </w:pPr>
    </w:p>
    <w:p>
      <w:pPr>
        <w:ind w:left="332" w:right="120" w:hanging="332"/>
        <w:spacing w:after="0" w:line="266"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 Should any provision of this Agreement be declared or be determined by any court of competent jurisdiction to be illegal or invalid,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remaining parts, terms or provisions shall not be affected thereby and said illegal or invalid part, term or provision shall be deemed not to be a part of this Agreement.</w:t>
      </w:r>
    </w:p>
    <w:p>
      <w:pPr>
        <w:spacing w:after="0" w:line="81" w:lineRule="exact"/>
        <w:rPr>
          <w:rFonts w:ascii="Arial" w:cs="Arial" w:eastAsia="Arial" w:hAnsi="Arial"/>
          <w:sz w:val="18"/>
          <w:szCs w:val="18"/>
          <w:color w:val="auto"/>
        </w:rPr>
      </w:pPr>
    </w:p>
    <w:p>
      <w:pPr>
        <w:ind w:left="332" w:right="200" w:hanging="332"/>
        <w:spacing w:after="0" w:line="289"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Acknowledgments</w:t>
      </w:r>
      <w:r>
        <w:rPr>
          <w:rFonts w:ascii="Arial" w:cs="Arial" w:eastAsia="Arial" w:hAnsi="Arial"/>
          <w:sz w:val="17"/>
          <w:szCs w:val="17"/>
          <w:b w:val="1"/>
          <w:bCs w:val="1"/>
          <w:color w:val="auto"/>
        </w:rPr>
        <w:t xml:space="preserve">. </w:t>
      </w:r>
      <w:r>
        <w:rPr>
          <w:rFonts w:ascii="Arial" w:cs="Arial" w:eastAsia="Arial" w:hAnsi="Arial"/>
          <w:sz w:val="17"/>
          <w:szCs w:val="17"/>
          <w:color w:val="auto"/>
        </w:rPr>
        <w:t>— The Executive acknowledges that he has been given more than twenty-one days (21) to consider this Agreement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advised him to consult with an attorney of his own choosing prior to signing this Agreement. The Executive understands that he may revoke the Agreement for a period of seven (7) days after he signs it, and the Agreement shall not be effective or enforceable until the</w:t>
      </w:r>
    </w:p>
    <w:p>
      <w:pPr>
        <w:spacing w:after="0" w:line="135" w:lineRule="exact"/>
        <w:rPr>
          <w:rFonts w:ascii="Arial" w:cs="Arial" w:eastAsia="Arial" w:hAnsi="Arial"/>
          <w:sz w:val="17"/>
          <w:szCs w:val="17"/>
          <w:color w:val="auto"/>
        </w:rPr>
      </w:pPr>
    </w:p>
    <w:p>
      <w:pPr>
        <w:ind w:left="5652" w:hanging="96"/>
        <w:spacing w:after="0"/>
        <w:tabs>
          <w:tab w:leader="none" w:pos="56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 w:name="page46"/>
    <w:bookmarkEnd w:id="45"/>
    <w:p>
      <w:pPr>
        <w:ind w:left="332" w:right="340"/>
        <w:spacing w:after="0" w:line="264" w:lineRule="auto"/>
        <w:rPr>
          <w:sz w:val="20"/>
          <w:szCs w:val="20"/>
          <w:color w:val="auto"/>
        </w:rPr>
      </w:pPr>
      <w:r>
        <w:rPr>
          <w:rFonts w:ascii="Arial" w:cs="Arial" w:eastAsia="Arial" w:hAnsi="Arial"/>
          <w:sz w:val="18"/>
          <w:szCs w:val="18"/>
          <w:color w:val="auto"/>
        </w:rPr>
        <w:t>expiration of this seven (7) day period. The Executive understands and agrees that by entering into the Agreement he is waiving any and all rights or claims he may have under the Age Discrimination in Employment Act, as amended by the Older Workers Benefit Protection Act, and that he has received consideration beyond that to which he was previously entitled.</w:t>
      </w:r>
    </w:p>
    <w:p>
      <w:pPr>
        <w:spacing w:after="0" w:line="69" w:lineRule="exact"/>
        <w:rPr>
          <w:sz w:val="20"/>
          <w:szCs w:val="20"/>
          <w:color w:val="auto"/>
        </w:rPr>
      </w:pPr>
    </w:p>
    <w:p>
      <w:pPr>
        <w:ind w:left="332" w:right="80" w:hanging="332"/>
        <w:spacing w:after="0" w:line="282"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understands and agrees that this Agreement, is a severance agreement and does not constitute an admission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or wrongdoing on the part of the Company, or the Executive.</w:t>
      </w:r>
    </w:p>
    <w:p>
      <w:pPr>
        <w:spacing w:after="0" w:line="67" w:lineRule="exact"/>
        <w:rPr>
          <w:rFonts w:ascii="Arial" w:cs="Arial" w:eastAsia="Arial" w:hAnsi="Arial"/>
          <w:sz w:val="18"/>
          <w:szCs w:val="18"/>
          <w:color w:val="auto"/>
        </w:rPr>
      </w:pPr>
    </w:p>
    <w:p>
      <w:pPr>
        <w:ind w:left="332" w:right="220" w:hanging="332"/>
        <w:spacing w:after="0" w:line="258"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Assent.</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affirms that no other promises or agreements of any kind have been made to or with him by any person or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to cause him to sign this Agreement, and that he fully understands the meaning and intent of this Agreement. The Executive states and represents that he has had an opportunity to fully discuss and review the terms of this Agreement with an attorney. The Executive further states and represents that he has carefully read this Agreement, understands the contents herein, freely and voluntarily assents to all of the terms and conditions hereof, and signs his name of his own free act.</w:t>
      </w:r>
    </w:p>
    <w:p>
      <w:pPr>
        <w:spacing w:after="0" w:line="89" w:lineRule="exact"/>
        <w:rPr>
          <w:rFonts w:ascii="Arial" w:cs="Arial" w:eastAsia="Arial" w:hAnsi="Arial"/>
          <w:sz w:val="18"/>
          <w:szCs w:val="18"/>
          <w:color w:val="auto"/>
        </w:rPr>
      </w:pPr>
    </w:p>
    <w:p>
      <w:pPr>
        <w:ind w:left="332" w:right="20" w:hanging="332"/>
        <w:spacing w:after="0" w:line="258"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 This Agreement and shall be interpreted and construed by the laws of the Commonwealth of Massachusetts,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provisions. The Executive hereby irrevocably submits to and acknowledges and recognizes the jurisdiction of the courts of the Commonwealth of Massachusetts, or if appropriate, a federal court located in Massachusetts (which courts, for purposes of this Agreement , are the only courts of competent jurisdiction), over any suit, action or other proceeding arising out of, under or in connection with this Agreement or the subject matter thereof.</w:t>
      </w:r>
    </w:p>
    <w:p>
      <w:pPr>
        <w:spacing w:after="0" w:line="89" w:lineRule="exact"/>
        <w:rPr>
          <w:rFonts w:ascii="Arial" w:cs="Arial" w:eastAsia="Arial" w:hAnsi="Arial"/>
          <w:sz w:val="18"/>
          <w:szCs w:val="18"/>
          <w:color w:val="auto"/>
        </w:rPr>
      </w:pPr>
    </w:p>
    <w:p>
      <w:pPr>
        <w:ind w:left="332" w:right="80" w:hanging="332"/>
        <w:spacing w:after="0" w:line="303"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This Agreement contain and constitute the entire understanding and agreement between the parties hereto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severance benefits and the settlement of claims against the Company and cancel all previous oral and written negotiations, agreements, commitments and writings in connection therewith, including, without limitation, the Offer Letter and Executive’s Severance Agreement dated May 18, 2010. Nothing in this paragraph, however, shall modify, cancel or supersede the Executive’s obligations set forth in paragraphs 5 and 6 above.</w:t>
      </w:r>
    </w:p>
    <w:p>
      <w:pPr>
        <w:spacing w:after="0" w:line="56" w:lineRule="exact"/>
        <w:rPr>
          <w:rFonts w:ascii="Arial" w:cs="Arial" w:eastAsia="Arial" w:hAnsi="Arial"/>
          <w:sz w:val="16"/>
          <w:szCs w:val="16"/>
          <w:color w:val="auto"/>
        </w:rPr>
      </w:pPr>
    </w:p>
    <w:p>
      <w:pPr>
        <w:ind w:left="332" w:hanging="332"/>
        <w:spacing w:after="0" w:line="277"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Tax Consequences;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intend that the payments and benefits hereunder be exempt from or comply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Internal Revenue Code of 1986, as amended (together with Treasury Regulations and other written guidance, “Section 409A”). The Company makes no representation or warranty and shall have no liability to the Executive or any other person as to the tax consequences of payments or benefits hereunder, including liability that may arise if any provisions of this Agreement and the attachments hereto are determined to constitute deferred compensation subject to Section 409A but do not satisfy the conditions of such section.</w:t>
      </w:r>
    </w:p>
    <w:p>
      <w:pPr>
        <w:spacing w:after="0" w:line="145" w:lineRule="exact"/>
        <w:rPr>
          <w:rFonts w:ascii="Arial" w:cs="Arial" w:eastAsia="Arial" w:hAnsi="Arial"/>
          <w:sz w:val="17"/>
          <w:szCs w:val="17"/>
          <w:color w:val="auto"/>
        </w:rPr>
      </w:pPr>
    </w:p>
    <w:p>
      <w:pPr>
        <w:ind w:left="5652" w:hanging="96"/>
        <w:spacing w:after="0"/>
        <w:tabs>
          <w:tab w:leader="none" w:pos="56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AMERICAN SUPERCONDUCTOR CORPORATION</w:t>
            </w:r>
          </w:p>
        </w:tc>
        <w:tc>
          <w:tcPr>
            <w:tcW w:w="652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By:  /s/ Daniel P. McGahn</w:t>
            </w:r>
          </w:p>
        </w:tc>
        <w:tc>
          <w:tcPr>
            <w:tcW w:w="6520" w:type="dxa"/>
            <w:vAlign w:val="bottom"/>
          </w:tcPr>
          <w:p>
            <w:pPr>
              <w:ind w:left="720"/>
              <w:spacing w:after="0"/>
              <w:rPr>
                <w:sz w:val="20"/>
                <w:szCs w:val="20"/>
                <w:color w:val="auto"/>
              </w:rPr>
            </w:pPr>
            <w:r>
              <w:rPr>
                <w:rFonts w:ascii="Arial" w:cs="Arial" w:eastAsia="Arial" w:hAnsi="Arial"/>
                <w:sz w:val="18"/>
                <w:szCs w:val="18"/>
                <w:color w:val="auto"/>
              </w:rPr>
              <w:t>July 26, 2011</w:t>
            </w:r>
          </w:p>
        </w:tc>
      </w:tr>
      <w:tr>
        <w:trPr>
          <w:trHeight w:val="209"/>
        </w:trPr>
        <w:tc>
          <w:tcPr>
            <w:tcW w:w="48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McGahn</w:t>
            </w:r>
          </w:p>
        </w:tc>
        <w:tc>
          <w:tcPr>
            <w:tcW w:w="980" w:type="dxa"/>
            <w:vAlign w:val="bottom"/>
          </w:tcPr>
          <w:p>
            <w:pPr>
              <w:spacing w:after="0"/>
              <w:rPr>
                <w:sz w:val="18"/>
                <w:szCs w:val="18"/>
                <w:color w:val="auto"/>
              </w:rPr>
            </w:pPr>
          </w:p>
        </w:tc>
        <w:tc>
          <w:tcPr>
            <w:tcW w:w="6520" w:type="dxa"/>
            <w:vAlign w:val="bottom"/>
          </w:tcPr>
          <w:p>
            <w:pPr>
              <w:ind w:left="720"/>
              <w:spacing w:after="0"/>
              <w:rPr>
                <w:sz w:val="20"/>
                <w:szCs w:val="20"/>
                <w:color w:val="auto"/>
              </w:rPr>
            </w:pPr>
            <w:r>
              <w:rPr>
                <w:rFonts w:ascii="Arial" w:cs="Arial" w:eastAsia="Arial" w:hAnsi="Arial"/>
                <w:sz w:val="18"/>
                <w:szCs w:val="18"/>
                <w:color w:val="auto"/>
              </w:rPr>
              <w:t>Date</w:t>
            </w:r>
          </w:p>
        </w:tc>
      </w:tr>
      <w:tr>
        <w:trPr>
          <w:trHeight w:val="230"/>
        </w:trPr>
        <w:tc>
          <w:tcPr>
            <w:tcW w:w="48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652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JOHN R. COLLETT</w:t>
            </w:r>
          </w:p>
        </w:tc>
        <w:tc>
          <w:tcPr>
            <w:tcW w:w="6520" w:type="dxa"/>
            <w:vAlign w:val="bottom"/>
          </w:tcPr>
          <w:p>
            <w:pPr>
              <w:spacing w:after="0"/>
              <w:rPr>
                <w:sz w:val="24"/>
                <w:szCs w:val="24"/>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 John R. Collett</w:t>
            </w:r>
          </w:p>
        </w:tc>
        <w:tc>
          <w:tcPr>
            <w:tcW w:w="6520" w:type="dxa"/>
            <w:vAlign w:val="bottom"/>
          </w:tcPr>
          <w:p>
            <w:pPr>
              <w:ind w:left="720"/>
              <w:spacing w:after="0"/>
              <w:rPr>
                <w:sz w:val="20"/>
                <w:szCs w:val="20"/>
                <w:color w:val="auto"/>
              </w:rPr>
            </w:pPr>
            <w:r>
              <w:rPr>
                <w:rFonts w:ascii="Arial" w:cs="Arial" w:eastAsia="Arial" w:hAnsi="Arial"/>
                <w:sz w:val="18"/>
                <w:szCs w:val="18"/>
                <w:color w:val="auto"/>
              </w:rPr>
              <w:t>July 26, 2011</w:t>
            </w:r>
          </w:p>
        </w:tc>
      </w:tr>
      <w:tr>
        <w:trPr>
          <w:trHeight w:val="223"/>
        </w:trPr>
        <w:tc>
          <w:tcPr>
            <w:tcW w:w="48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tcPr>
          <w:p>
            <w:pPr>
              <w:ind w:left="720"/>
              <w:spacing w:after="0"/>
              <w:rPr>
                <w:sz w:val="20"/>
                <w:szCs w:val="20"/>
                <w:color w:val="auto"/>
              </w:rPr>
            </w:pPr>
            <w:r>
              <w:rPr>
                <w:rFonts w:ascii="Arial" w:cs="Arial" w:eastAsia="Arial" w:hAnsi="Arial"/>
                <w:sz w:val="18"/>
                <w:szCs w:val="18"/>
                <w:color w:val="auto"/>
              </w:rPr>
              <w:t>Date</w:t>
            </w:r>
          </w:p>
        </w:tc>
      </w:tr>
      <w:tr>
        <w:trPr>
          <w:trHeight w:val="405"/>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20" w:type="dxa"/>
            <w:vAlign w:val="bottom"/>
          </w:tcPr>
          <w:p>
            <w:pPr>
              <w:ind w:left="660"/>
              <w:spacing w:after="0"/>
              <w:rPr>
                <w:sz w:val="20"/>
                <w:szCs w:val="20"/>
                <w:color w:val="auto"/>
              </w:rPr>
            </w:pPr>
            <w:r>
              <w:rPr>
                <w:rFonts w:ascii="Arial" w:cs="Arial" w:eastAsia="Arial" w:hAnsi="Arial"/>
                <w:sz w:val="18"/>
                <w:szCs w:val="18"/>
                <w:color w:val="auto"/>
              </w:rPr>
              <w:t>- 7 -</w:t>
            </w:r>
          </w:p>
        </w:tc>
      </w:tr>
      <w:tr>
        <w:trPr>
          <w:trHeight w:val="226"/>
        </w:trPr>
        <w:tc>
          <w:tcPr>
            <w:tcW w:w="48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7" w:name="page48"/>
    <w:bookmarkEnd w:id="47"/>
    <w:p>
      <w:pPr>
        <w:jc w:val="center"/>
        <w:ind w:right="-31"/>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11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PAYMENTS SUBJECT TO SECTION 409A</w:t>
      </w:r>
    </w:p>
    <w:p>
      <w:pPr>
        <w:spacing w:after="0" w:line="121" w:lineRule="exact"/>
        <w:rPr>
          <w:sz w:val="20"/>
          <w:szCs w:val="20"/>
          <w:color w:val="auto"/>
        </w:rPr>
      </w:pPr>
    </w:p>
    <w:p>
      <w:pPr>
        <w:ind w:left="-8" w:right="20" w:firstLine="8"/>
        <w:spacing w:after="0" w:line="312" w:lineRule="auto"/>
        <w:tabs>
          <w:tab w:leader="none" w:pos="1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this Attachment A, any Severance Benefits that may be due under the Agreement to which this Attachment A is attached shall begin only upon the date of the Executive’s “separation from service” (determined as set forth below) which occurs on or after the cessation of his employment. The following rules shall apply with respect to distribution of the Severance Benefits, if any, to be provided to the Executive under the Agreement, as applicable:</w:t>
      </w:r>
    </w:p>
    <w:p>
      <w:pPr>
        <w:spacing w:after="0" w:line="39" w:lineRule="exact"/>
        <w:rPr>
          <w:sz w:val="20"/>
          <w:szCs w:val="20"/>
          <w:color w:val="auto"/>
        </w:rPr>
      </w:pPr>
    </w:p>
    <w:p>
      <w:pPr>
        <w:ind w:left="232"/>
        <w:spacing w:after="0"/>
        <w:rPr>
          <w:sz w:val="20"/>
          <w:szCs w:val="20"/>
          <w:color w:val="auto"/>
        </w:rPr>
      </w:pPr>
      <w:r>
        <w:rPr>
          <w:rFonts w:ascii="Arial" w:cs="Arial" w:eastAsia="Arial" w:hAnsi="Arial"/>
          <w:sz w:val="17"/>
          <w:szCs w:val="17"/>
          <w:color w:val="auto"/>
        </w:rPr>
        <w:t>(a) It is intended that each installment of the Severance Benefits under the Agreement shall be treated as a “separate payment” for purposes of</w:t>
      </w:r>
    </w:p>
    <w:p>
      <w:pPr>
        <w:spacing w:after="0" w:line="35" w:lineRule="exact"/>
        <w:rPr>
          <w:sz w:val="20"/>
          <w:szCs w:val="20"/>
          <w:color w:val="auto"/>
        </w:rPr>
      </w:pPr>
    </w:p>
    <w:p>
      <w:pPr>
        <w:ind w:left="232" w:right="280"/>
        <w:spacing w:after="0" w:line="261" w:lineRule="auto"/>
        <w:rPr>
          <w:sz w:val="20"/>
          <w:szCs w:val="20"/>
          <w:color w:val="auto"/>
        </w:rPr>
      </w:pPr>
      <w:r>
        <w:rPr>
          <w:rFonts w:ascii="Arial" w:cs="Arial" w:eastAsia="Arial" w:hAnsi="Arial"/>
          <w:sz w:val="18"/>
          <w:szCs w:val="18"/>
          <w:color w:val="auto"/>
        </w:rPr>
        <w:t>Section 409A. Neither the Company nor the Executive shall have the right to accelerate or defer the delivery of any such payments except to the extent specifically permitted or required by Section 409A.</w:t>
      </w:r>
    </w:p>
    <w:p>
      <w:pPr>
        <w:spacing w:after="0" w:line="76" w:lineRule="exact"/>
        <w:rPr>
          <w:sz w:val="20"/>
          <w:szCs w:val="20"/>
          <w:color w:val="auto"/>
        </w:rPr>
      </w:pPr>
    </w:p>
    <w:p>
      <w:pPr>
        <w:ind w:left="232" w:right="1000" w:hanging="4"/>
        <w:spacing w:after="0" w:line="342" w:lineRule="auto"/>
        <w:tabs>
          <w:tab w:leader="none" w:pos="4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as of the date of the Executive’s “separation from service” from the Company, he is not a “specified employee” (within the meaning of Section 409A), then each installment of the Severance Benefits shall be made on the dates and terms set forth in the Agreement.</w:t>
      </w:r>
    </w:p>
    <w:p>
      <w:pPr>
        <w:spacing w:after="0" w:line="15" w:lineRule="exact"/>
        <w:rPr>
          <w:rFonts w:ascii="Arial" w:cs="Arial" w:eastAsia="Arial" w:hAnsi="Arial"/>
          <w:sz w:val="16"/>
          <w:szCs w:val="16"/>
          <w:color w:val="auto"/>
        </w:rPr>
      </w:pPr>
    </w:p>
    <w:p>
      <w:pPr>
        <w:ind w:left="232" w:right="140" w:hanging="4"/>
        <w:spacing w:after="0" w:line="277" w:lineRule="auto"/>
        <w:tabs>
          <w:tab w:leader="none" w:pos="4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he is a “specified employee” (within the meaning of Section 409A), then:</w:t>
      </w:r>
    </w:p>
    <w:p>
      <w:pPr>
        <w:spacing w:after="0" w:line="62" w:lineRule="exact"/>
        <w:rPr>
          <w:rFonts w:ascii="Arial" w:cs="Arial" w:eastAsia="Arial" w:hAnsi="Arial"/>
          <w:sz w:val="18"/>
          <w:szCs w:val="18"/>
          <w:color w:val="auto"/>
        </w:rPr>
      </w:pPr>
    </w:p>
    <w:p>
      <w:pPr>
        <w:ind w:left="452" w:right="440" w:firstLine="4"/>
        <w:spacing w:after="0" w:line="259" w:lineRule="auto"/>
        <w:tabs>
          <w:tab w:leader="none" w:pos="6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installment of the Severance Benefits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78" w:lineRule="exact"/>
        <w:rPr>
          <w:rFonts w:ascii="Arial" w:cs="Arial" w:eastAsia="Arial" w:hAnsi="Arial"/>
          <w:sz w:val="18"/>
          <w:szCs w:val="18"/>
          <w:color w:val="auto"/>
        </w:rPr>
      </w:pPr>
    </w:p>
    <w:p>
      <w:pPr>
        <w:ind w:left="452" w:firstLine="4"/>
        <w:spacing w:after="0" w:line="293" w:lineRule="auto"/>
        <w:tabs>
          <w:tab w:leader="none" w:pos="71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installment of the Severance Benefits due under the Agreement that is not described in this Attachment A, Section 1(c)(i) and that would, absent this subsection, be paid within the six-month period following his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his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w:t>
      </w:r>
    </w:p>
    <w:p>
      <w:pPr>
        <w:spacing w:after="0" w:line="137" w:lineRule="exact"/>
        <w:rPr>
          <w:rFonts w:ascii="Arial" w:cs="Arial" w:eastAsia="Arial" w:hAnsi="Arial"/>
          <w:sz w:val="16"/>
          <w:szCs w:val="16"/>
          <w:color w:val="auto"/>
        </w:rPr>
      </w:pPr>
    </w:p>
    <w:p>
      <w:pPr>
        <w:ind w:left="5652" w:hanging="96"/>
        <w:spacing w:after="0"/>
        <w:tabs>
          <w:tab w:leader="none" w:pos="56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59" w:right="259" w:bottom="1440" w:gutter="0" w:footer="0" w:header="0"/>
        </w:sectPr>
      </w:pPr>
    </w:p>
    <w:bookmarkStart w:id="48" w:name="page49"/>
    <w:bookmarkEnd w:id="48"/>
    <w:p>
      <w:pPr>
        <w:ind w:left="452" w:right="140"/>
        <w:spacing w:after="0" w:line="259" w:lineRule="auto"/>
        <w:rPr>
          <w:sz w:val="20"/>
          <w:szCs w:val="20"/>
          <w:color w:val="auto"/>
        </w:rPr>
      </w:pPr>
      <w:r>
        <w:rPr>
          <w:rFonts w:ascii="Arial" w:cs="Arial" w:eastAsia="Arial" w:hAnsi="Arial"/>
          <w:sz w:val="18"/>
          <w:szCs w:val="18"/>
          <w:color w:val="auto"/>
        </w:rPr>
        <w:t>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79" w:lineRule="exact"/>
        <w:rPr>
          <w:sz w:val="20"/>
          <w:szCs w:val="20"/>
          <w:color w:val="auto"/>
        </w:rPr>
      </w:pPr>
    </w:p>
    <w:p>
      <w:pPr>
        <w:jc w:val="both"/>
        <w:ind w:left="-8" w:right="100" w:firstLine="8"/>
        <w:spacing w:after="0" w:line="312" w:lineRule="auto"/>
        <w:tabs>
          <w:tab w:leader="none" w:pos="17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determination of whether and when the Executive’s separation from service from the Company has occurred shall be made and in a manner consistent with, and based on the presumptions set forth in, Treasury Regulation Section 1.409A-1(h). Solely for purposes of this Attachment A, Section 2, “Company” shall include all persons with whom the Company would be considered a single employer under Section 414(b) and 414(c) of the Code.</w:t>
      </w:r>
    </w:p>
    <w:p>
      <w:pPr>
        <w:spacing w:after="0" w:line="38" w:lineRule="exact"/>
        <w:rPr>
          <w:rFonts w:ascii="Arial" w:cs="Arial" w:eastAsia="Arial" w:hAnsi="Arial"/>
          <w:sz w:val="16"/>
          <w:szCs w:val="16"/>
          <w:color w:val="auto"/>
        </w:rPr>
      </w:pPr>
    </w:p>
    <w:p>
      <w:pPr>
        <w:ind w:left="-8" w:firstLine="8"/>
        <w:spacing w:after="0" w:line="264" w:lineRule="auto"/>
        <w:tabs>
          <w:tab w:leader="none" w:pos="1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Attachment) are determined to constitute deferred compensation subject to Section 409A but that do not satisfy an exemption from, or the conditions of, that section.</w:t>
      </w:r>
    </w:p>
    <w:p>
      <w:pPr>
        <w:spacing w:after="0" w:line="154" w:lineRule="exact"/>
        <w:rPr>
          <w:rFonts w:ascii="Arial" w:cs="Arial" w:eastAsia="Arial" w:hAnsi="Arial"/>
          <w:sz w:val="18"/>
          <w:szCs w:val="18"/>
          <w:color w:val="auto"/>
        </w:rPr>
      </w:pPr>
    </w:p>
    <w:p>
      <w:pPr>
        <w:ind w:left="5652" w:hanging="96"/>
        <w:spacing w:after="0"/>
        <w:tabs>
          <w:tab w:leader="none" w:pos="56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12"/>
          </w:cols>
          <w:pgMar w:left="248"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AGREEMENT</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Severance Agreement (the “Agreement”) is made as of this 12</w:t>
      </w:r>
      <w:r>
        <w:rPr>
          <w:rFonts w:ascii="Arial" w:cs="Arial" w:eastAsia="Arial" w:hAnsi="Arial"/>
          <w:sz w:val="15"/>
          <w:szCs w:val="15"/>
          <w:color w:val="auto"/>
        </w:rPr>
        <w:t>th</w:t>
      </w:r>
      <w:r>
        <w:rPr>
          <w:rFonts w:ascii="Arial" w:cs="Arial" w:eastAsia="Arial" w:hAnsi="Arial"/>
          <w:sz w:val="18"/>
          <w:szCs w:val="18"/>
          <w:color w:val="auto"/>
        </w:rPr>
        <w:t xml:space="preserve"> day of September, 2011 by and between American Superconductor Corporation (the “Company”), and Charles W. Stankiewicz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currently serves as the Company’s Executive Vice President, Operations and Grid Segment;</w:t>
      </w:r>
    </w:p>
    <w:p>
      <w:pPr>
        <w:spacing w:after="0" w:line="117" w:lineRule="exact"/>
        <w:rPr>
          <w:sz w:val="20"/>
          <w:szCs w:val="20"/>
          <w:color w:val="auto"/>
        </w:rPr>
      </w:pPr>
    </w:p>
    <w:p>
      <w:pPr>
        <w:ind w:right="340" w:firstLine="225"/>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Executive believe that it is in their mutual best interests for the Company to terminate the Executive’s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August 23, 2011 (the “Termination Date”), as part of the Company’s current restructuring that took place on August 11, 2011;</w:t>
      </w:r>
    </w:p>
    <w:p>
      <w:pPr>
        <w:spacing w:after="0" w:line="30"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and the Company are parties to an Amended and Restated Executive Severance Agreement dated December 23, 2008</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Agreement”) and a revised offer letter dated May 26, 1998 (the “Offer Letter”);</w:t>
      </w:r>
    </w:p>
    <w:p>
      <w:pPr>
        <w:spacing w:after="0" w:line="54"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and the Company believe that it is in their mutual interests to terminate the Executive Agreement and Offer Letter and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benefits in accordance with this Agreement;</w:t>
      </w:r>
    </w:p>
    <w:p>
      <w:pPr>
        <w:spacing w:after="0" w:line="54" w:lineRule="exact"/>
        <w:rPr>
          <w:sz w:val="20"/>
          <w:szCs w:val="20"/>
          <w:color w:val="auto"/>
        </w:rPr>
      </w:pPr>
    </w:p>
    <w:p>
      <w:pPr>
        <w:ind w:right="32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agreed to offer the Executive the severance benefits (as defined below) set forth in Paragraph 1 below, provided that he</w:t>
      </w:r>
      <w:r>
        <w:rPr>
          <w:rFonts w:ascii="Arial" w:cs="Arial" w:eastAsia="Arial" w:hAnsi="Arial"/>
          <w:sz w:val="16"/>
          <w:szCs w:val="16"/>
          <w:b w:val="1"/>
          <w:bCs w:val="1"/>
          <w:color w:val="auto"/>
        </w:rPr>
        <w:t xml:space="preserve"> </w:t>
      </w:r>
      <w:r>
        <w:rPr>
          <w:rFonts w:ascii="Arial" w:cs="Arial" w:eastAsia="Arial" w:hAnsi="Arial"/>
          <w:sz w:val="16"/>
          <w:szCs w:val="16"/>
          <w:color w:val="auto"/>
        </w:rPr>
        <w:t>signs and returns this Agreement to the Company no earlier than the Termination Date but no later than October 7, 2011 and does not revoke it;</w:t>
      </w:r>
    </w:p>
    <w:p>
      <w:pPr>
        <w:spacing w:after="0" w:line="8" w:lineRule="exact"/>
        <w:rPr>
          <w:sz w:val="20"/>
          <w:szCs w:val="20"/>
          <w:color w:val="auto"/>
        </w:rPr>
      </w:pPr>
    </w:p>
    <w:p>
      <w:pPr>
        <w:ind w:left="240" w:right="130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advised the Executive to consult with an attorney of his own choosing prior to executing this Agreement;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the Executive requested certain changes to this Agreement, and the Company made some of the requested changes.</w:t>
      </w:r>
      <w:r>
        <w:rPr>
          <w:rFonts w:ascii="Arial" w:cs="Arial" w:eastAsia="Arial" w:hAnsi="Arial"/>
          <w:sz w:val="16"/>
          <w:szCs w:val="16"/>
          <w:b w:val="1"/>
          <w:bCs w:val="1"/>
          <w:color w:val="auto"/>
        </w:rPr>
        <w:t xml:space="preserve"> NOW, THEREFORE</w:t>
      </w:r>
      <w:r>
        <w:rPr>
          <w:rFonts w:ascii="Arial" w:cs="Arial" w:eastAsia="Arial" w:hAnsi="Arial"/>
          <w:sz w:val="16"/>
          <w:szCs w:val="16"/>
          <w:color w:val="auto"/>
        </w:rPr>
        <w:t>, in consideration of the foregoing and the mutual covenants contained herein, the parties agree as follows:</w:t>
      </w:r>
    </w:p>
    <w:p>
      <w:pPr>
        <w:spacing w:after="0" w:line="2" w:lineRule="exact"/>
        <w:rPr>
          <w:sz w:val="20"/>
          <w:szCs w:val="20"/>
          <w:color w:val="auto"/>
        </w:rPr>
      </w:pPr>
    </w:p>
    <w:p>
      <w:pPr>
        <w:ind w:right="220" w:firstLine="8"/>
        <w:spacing w:after="0" w:line="266"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the Executive timely signs and returns this Agreement no earlier than his Termination Date, and does not revoke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will provide him, subject to the terms and conditions set forth in Attachment A, the following severance benefits (the “Severance Benefits”):</w:t>
      </w:r>
    </w:p>
    <w:p>
      <w:pPr>
        <w:spacing w:after="0" w:line="72" w:lineRule="exact"/>
        <w:rPr>
          <w:rFonts w:ascii="Arial" w:cs="Arial" w:eastAsia="Arial" w:hAnsi="Arial"/>
          <w:sz w:val="18"/>
          <w:szCs w:val="18"/>
          <w:b w:val="1"/>
          <w:bCs w:val="1"/>
          <w:color w:val="auto"/>
        </w:rPr>
      </w:pPr>
    </w:p>
    <w:p>
      <w:pPr>
        <w:ind w:right="180" w:firstLine="233"/>
        <w:spacing w:after="0" w:line="264" w:lineRule="auto"/>
        <w:tabs>
          <w:tab w:leader="none" w:pos="47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The Company will pay to the Executive $717,500, less all applicable taxes and withholdings, as severance pay (an amount equivalent to eighteen (18) months of his current base salary and an additional $200,000 in consideration of his entering into and abiding by the non-competition and non-solicitation provisions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in Paragraphs 5, 6 and 7 below) (the “Severance Pay”). The Severance Pay will be paid on a pro-rata basis as salary continuation over eighteen (18) months in accordance with the Company’s normal payroll practices, but in no event shall payment begin earlier than the eighth (8th) day after the Executive’s execution of the Agreement (provided he has not revoked his acceptance of the Agreement). If the Executive dies before receiving the entire Severance Pay, the remaining payments will be paid to his wife, if living. If his wife is not living at the time payment is to be made, any remaining payments shall be paid to his estate. The Severance Pay shall be subject to the terms of Attachment A.</w:t>
      </w:r>
    </w:p>
    <w:p>
      <w:pPr>
        <w:spacing w:after="0" w:line="80" w:lineRule="exact"/>
        <w:rPr>
          <w:sz w:val="20"/>
          <w:szCs w:val="20"/>
          <w:color w:val="auto"/>
        </w:rPr>
      </w:pPr>
    </w:p>
    <w:p>
      <w:pPr>
        <w:jc w:val="both"/>
        <w:ind w:right="160" w:firstLine="233"/>
        <w:spacing w:after="0" w:line="279"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Extension of Exercise Period for Option Grant #2965</w:t>
      </w:r>
      <w:r>
        <w:rPr>
          <w:rFonts w:ascii="Arial" w:cs="Arial" w:eastAsia="Arial" w:hAnsi="Arial"/>
          <w:sz w:val="17"/>
          <w:szCs w:val="17"/>
          <w:color w:val="auto"/>
        </w:rPr>
        <w:t>. The Compensation Committee of the Board of Directors of the Company has approved that on the eighth (8th) day after the Executive’s execution and timely return of the Agreement (provided he has not revoked his acceptance of the Agreement), the Executive’s period to exercise the 80,000 vested options granted pursuant to the option grant #2965 made on May 15, 2007 shall remain exercisable until May 14, 2017, unless the exercise period is terminated in accordance with section (f) of this Paragraph 1.</w:t>
      </w:r>
    </w:p>
    <w:p>
      <w:pPr>
        <w:spacing w:after="0" w:line="63" w:lineRule="exact"/>
        <w:rPr>
          <w:rFonts w:ascii="Arial" w:cs="Arial" w:eastAsia="Arial" w:hAnsi="Arial"/>
          <w:sz w:val="17"/>
          <w:szCs w:val="17"/>
          <w:color w:val="auto"/>
        </w:rPr>
      </w:pPr>
    </w:p>
    <w:p>
      <w:pPr>
        <w:ind w:right="80" w:firstLine="233"/>
        <w:spacing w:after="0" w:line="253" w:lineRule="auto"/>
        <w:tabs>
          <w:tab w:leader="none" w:pos="47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COBRA Continuation</w:t>
      </w:r>
      <w:r>
        <w:rPr>
          <w:rFonts w:ascii="Arial" w:cs="Arial" w:eastAsia="Arial" w:hAnsi="Arial"/>
          <w:sz w:val="18"/>
          <w:szCs w:val="18"/>
          <w:color w:val="auto"/>
        </w:rPr>
        <w:t xml:space="preserve">. Provided the Executive is eligible for and timely elects to continue receiving group medical insurance pursuant to the federal “COBRA” law, 29 U.S.C. § 1161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for so long as he does not become eligible for coverage under another group health plan maintained by a subsequent employer, for a period of up to eighteen (18) months following the Termination Date, the Company shall pay the share of the premium for family health and family dental coverage that is paid by the Company for active and similarly situated employees who receive the same type of coverage; provided, however, that (i) the Company and the Executive mutually agree that if such payments by the Company would cause the Company to be subject to material tax liability or penalties, the parties will make reasonable efforts to restructure the arrangement consistent with the intent of this provision so as to avoid such adverse tax consequence, and (ii) to the extent such benefits cannot be provided to non-employees, then the Executive will receive the cash equivalent thereof, based on the cost thereof to the Company, paid proportionately over an eighteen (18) month period. All other Company benefits will end on the Termination Date.</w:t>
      </w:r>
    </w:p>
    <w:p>
      <w:pPr>
        <w:spacing w:after="0" w:line="89" w:lineRule="exact"/>
        <w:rPr>
          <w:rFonts w:ascii="Arial" w:cs="Arial" w:eastAsia="Arial" w:hAnsi="Arial"/>
          <w:sz w:val="18"/>
          <w:szCs w:val="18"/>
          <w:color w:val="auto"/>
        </w:rPr>
      </w:pPr>
    </w:p>
    <w:p>
      <w:pPr>
        <w:ind w:right="360" w:firstLine="233"/>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Outplacement</w:t>
      </w:r>
      <w:r>
        <w:rPr>
          <w:rFonts w:ascii="Arial" w:cs="Arial" w:eastAsia="Arial" w:hAnsi="Arial"/>
          <w:sz w:val="18"/>
          <w:szCs w:val="18"/>
          <w:color w:val="auto"/>
        </w:rPr>
        <w:t>. The Company will provide the Executive with executive outplacement services at its cost with the firm of Lee Hecht Harrison. The Executive must initiate use of the services by March 31, 2012.</w:t>
      </w:r>
    </w:p>
    <w:p>
      <w:pPr>
        <w:spacing w:after="0" w:line="62" w:lineRule="exact"/>
        <w:rPr>
          <w:rFonts w:ascii="Arial" w:cs="Arial" w:eastAsia="Arial" w:hAnsi="Arial"/>
          <w:sz w:val="18"/>
          <w:szCs w:val="18"/>
          <w:color w:val="auto"/>
        </w:rPr>
      </w:pPr>
    </w:p>
    <w:p>
      <w:pPr>
        <w:ind w:right="120" w:firstLine="233"/>
        <w:spacing w:after="0" w:line="273" w:lineRule="auto"/>
        <w:tabs>
          <w:tab w:leader="none" w:pos="47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Continued Appointment as Company Representative on Certain Boards of Directors</w:t>
      </w:r>
      <w:r>
        <w:rPr>
          <w:rFonts w:ascii="Arial" w:cs="Arial" w:eastAsia="Arial" w:hAnsi="Arial"/>
          <w:sz w:val="17"/>
          <w:szCs w:val="17"/>
          <w:color w:val="auto"/>
        </w:rPr>
        <w:t>. The Executive will continue to serve as the Company’s representative on the Board(s) of Directors of certain company’s in which the Company has, or may have, an interest. The Executive’s service shall be at the discretion and pleasure of the Company and such service may be terminated at any time upon twenty-four (24) hours notice to the Company’s last known address in the Company’s records. Upon notice from the Company of termination of his service, the Executive will promptly take all steps necessary to remove himself from the applicable board and transition his appointment to an individual, or individuals, designated by the Company. For this service, the Executive shall be compensated at the rate of $1,000 for participation in each applicable board telephone</w:t>
      </w:r>
    </w:p>
    <w:p>
      <w:pPr>
        <w:spacing w:after="0" w:line="151" w:lineRule="exact"/>
        <w:rPr>
          <w:rFonts w:ascii="Arial" w:cs="Arial" w:eastAsia="Arial" w:hAnsi="Arial"/>
          <w:sz w:val="17"/>
          <w:szCs w:val="17"/>
          <w:color w:val="auto"/>
        </w:rPr>
      </w:pPr>
    </w:p>
    <w:p>
      <w:pPr>
        <w:ind w:left="5660" w:hanging="96"/>
        <w:spacing w:after="0"/>
        <w:tabs>
          <w:tab w:leader="none" w:pos="5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conference, $1,500 for participation for attendance at in person board meetings and reimbursement of other expenses in accordance with Company policy.</w:t>
      </w:r>
    </w:p>
    <w:p>
      <w:pPr>
        <w:spacing w:after="0" w:line="140" w:lineRule="exact"/>
        <w:rPr>
          <w:sz w:val="20"/>
          <w:szCs w:val="20"/>
          <w:color w:val="auto"/>
        </w:rPr>
      </w:pPr>
    </w:p>
    <w:p>
      <w:pPr>
        <w:ind w:firstLine="233"/>
        <w:spacing w:after="0" w:line="285" w:lineRule="auto"/>
        <w:tabs>
          <w:tab w:leader="none" w:pos="45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Ability to Terminate Severance Pay Payments</w:t>
      </w:r>
      <w:r>
        <w:rPr>
          <w:rFonts w:ascii="Arial" w:cs="Arial" w:eastAsia="Arial" w:hAnsi="Arial"/>
          <w:sz w:val="16"/>
          <w:szCs w:val="16"/>
          <w:color w:val="auto"/>
        </w:rPr>
        <w:t>. In the event the Executive is in breach of or violates any provision of this Agreement, other than Paragraphs 5 and 6, the Company will notify the Executive of such breach and shall provide him with thirty (30) days from the date of such notice to present evidence as to why such a breach has not occurred or, if curable, the breach has been cured. If the Company in good faith continues to believe that a breach has occurred, or that the Executive’s cure was inadequate, it shall have the right to immediately cease making Severance Benefits payments, or set-off against remaining payments, up to a total maximum amount of $200,000. The Executive further agrees that if the Severance Pay is decreased pursuant to this Paragraph (f) of Paragraph 1, the Release of Claims set forth in Paragraph 2 shall remain in full force and effect and that to the extent the Executive has not exercised outstanding options with the Company, such ability to exercise such options will terminate immediately and automatically as of the date the Company notifies the Executive in writing of such termination. All written notifications will be mailed by first class mail to the Executive’s last known address in the Company’s records. With regard to Paragraphs 5 and 6, the Company may take immediate action for any breach or violation without providing notice to the Executive, including, but not limited to setting off payments and seeking injunctive relief. For the avoidance of doubt, if the Company terminates or sets-off payments pursuant to this Paragraph 1(f), the total amount withheld or set-off shall not exceed $200,000. Nothing herein, however shall prevent the Company from seeking additional monetary damages in excess of $200,000 as well as injunctive or other equitable relief. Any set-off and/or termination of the right to exercise outstanding options shall not be deemed liquidated damages nor shall it in any way limit the types or amounts of damages and relief available to the Company. If the Executive challenges any action taken by the Company pursuant to this Paragraph 1(f) in a court of law, the prevailing party as determined by a judgment in its favor shall be entitled to reimbursement of its attorney’s fees and costs. If the Executive prevails and is to receive the amount set-off, such payment shall be made in 30 days of such judgment.</w:t>
      </w:r>
    </w:p>
    <w:p>
      <w:pPr>
        <w:spacing w:after="0" w:line="65" w:lineRule="exact"/>
        <w:rPr>
          <w:rFonts w:ascii="Arial" w:cs="Arial" w:eastAsia="Arial" w:hAnsi="Arial"/>
          <w:sz w:val="16"/>
          <w:szCs w:val="16"/>
          <w:color w:val="auto"/>
        </w:rPr>
      </w:pPr>
    </w:p>
    <w:p>
      <w:pPr>
        <w:ind w:right="20" w:firstLine="8"/>
        <w:spacing w:after="0" w:line="271" w:lineRule="auto"/>
        <w:tabs>
          <w:tab w:leader="none" w:pos="1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Release of Claims</w:t>
      </w:r>
      <w:r>
        <w:rPr>
          <w:rFonts w:ascii="Arial" w:cs="Arial" w:eastAsia="Arial" w:hAnsi="Arial"/>
          <w:sz w:val="17"/>
          <w:szCs w:val="17"/>
          <w:color w:val="auto"/>
        </w:rPr>
        <w:t>. (a) In consideration of the Severance Benefits, which the Executive acknowledges he would not otherwise be entitled to receive,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the Executive ever had or now has against any or all of the Released Parties, including, but not limited to, any and all claims arising out of or relating to the Executive’s employment with and/or separation from the Company, including, but not limited to, all claims under Title VII of the Civil Rights Act of 1964, 42 U.S.C. § 2000e </w:t>
      </w:r>
      <w:r>
        <w:rPr>
          <w:rFonts w:ascii="Arial" w:cs="Arial" w:eastAsia="Arial" w:hAnsi="Arial"/>
          <w:sz w:val="17"/>
          <w:szCs w:val="17"/>
          <w:u w:val="single" w:color="auto"/>
          <w:color w:val="auto"/>
        </w:rPr>
        <w:t>et seq.</w:t>
      </w:r>
      <w:r>
        <w:rPr>
          <w:rFonts w:ascii="Arial" w:cs="Arial" w:eastAsia="Arial" w:hAnsi="Arial"/>
          <w:sz w:val="17"/>
          <w:szCs w:val="17"/>
          <w:color w:val="auto"/>
        </w:rPr>
        <w:t>, the Age Discrimination in</w:t>
      </w:r>
    </w:p>
    <w:p>
      <w:pPr>
        <w:spacing w:after="0" w:line="151" w:lineRule="exact"/>
        <w:rPr>
          <w:rFonts w:ascii="Arial" w:cs="Arial" w:eastAsia="Arial" w:hAnsi="Arial"/>
          <w:sz w:val="17"/>
          <w:szCs w:val="17"/>
          <w:b w:val="1"/>
          <w:bCs w:val="1"/>
          <w:color w:val="auto"/>
        </w:rPr>
      </w:pPr>
    </w:p>
    <w:p>
      <w:pPr>
        <w:ind w:left="5660" w:hanging="96"/>
        <w:spacing w:after="0"/>
        <w:tabs>
          <w:tab w:leader="none" w:pos="5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40"/>
        <w:spacing w:after="0" w:line="268" w:lineRule="auto"/>
        <w:rPr>
          <w:sz w:val="20"/>
          <w:szCs w:val="20"/>
          <w:color w:val="auto"/>
        </w:rPr>
      </w:pPr>
      <w:r>
        <w:rPr>
          <w:rFonts w:ascii="Arial" w:cs="Arial" w:eastAsia="Arial" w:hAnsi="Arial"/>
          <w:sz w:val="17"/>
          <w:szCs w:val="17"/>
          <w:color w:val="auto"/>
        </w:rPr>
        <w:t xml:space="preserve">Employment Act, 29 U.S.C. § 621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Americans With Disabilities Act of 1990, 42 U.S.C. § 12101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Genetic Information Nondiscrimination Act of 2008, 42 U.S.C. § 2000ff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Family and Medical Leave Act, 29 U.S.C. § 2601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Worker Adjustment and Retraining Notification Act (“WARN”), 29 U.S.C. § 2101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Rehabilitation Act of 1973, 29 U.S.C. § 701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Executive Order 11246, Executive Order 11141, the Fair Credit Reporting Act, 15 U.S.C. § 1681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Employee Retirement Income Security Act of 1974 (“ERISA”), 29 U.S.C. § 1001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all as amended; all claims arising out of the Massachusetts Fair Employment Practices Act., Mass. Gen. Laws ch. 151B, § 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Massachusetts Civil Rights Act, Mass. Gen. Laws ch. 12, §§ 11H and 11I, the Massachusetts Equal Rights Act, Mass. Gen. Laws. ch. 93, § 102 and Mass. Gen. Laws ch. 214, § 1C, the Massachusetts Labor and Industries Act, Mass. Gen. Laws ch. 149, § 1 </w:t>
      </w:r>
      <w:r>
        <w:rPr>
          <w:rFonts w:ascii="Arial" w:cs="Arial" w:eastAsia="Arial" w:hAnsi="Arial"/>
          <w:sz w:val="17"/>
          <w:szCs w:val="17"/>
          <w:u w:val="single" w:color="auto"/>
          <w:color w:val="auto"/>
        </w:rPr>
        <w:t>et seq.</w:t>
      </w:r>
      <w:r>
        <w:rPr>
          <w:rFonts w:ascii="Arial" w:cs="Arial" w:eastAsia="Arial" w:hAnsi="Arial"/>
          <w:sz w:val="17"/>
          <w:szCs w:val="17"/>
          <w:color w:val="auto"/>
        </w:rPr>
        <w:t>, Mass. Gen. Laws ch. 214, § 1B (Massachusetts right of privacy law), the Massachusetts Maternity Leave Act, Mass. Gen. Laws ch. 149, § 105D, and the Massachusetts Small Necessities Leave Act, Mass. Gen. Laws ch. 149, § 52D, all as amended; all claims arising out of the Wisconsin Fair Employment Act, Wis. Stat. § 111.31 et seq., the Wisconsin Family and Medical Leave Act, Wis. Stat. § 103.10 et seq., and the Wisconsin Business Closing Law, Wis. Stat. § 109.07, all as amended; all common law claims including, but not limited to, actions in defamation, intentional infliction of emotional distress, misrepresentation, fraud, wrongful discharge, and breach of contract (including, without limitation, all claims arising out of or related to the Executive’s Offer Letter and Executive Agreement”); all claims to any non-vested ownership interest in the Company, contractual or otherwise; and any claim or damage arising out of the Executive’s employment with and/or separation from the Company (including a claim for retaliation) under any common law theory or any federal, state or local statute or ordinance not expressly referenced above.</w:t>
      </w:r>
    </w:p>
    <w:p>
      <w:pPr>
        <w:spacing w:after="0" w:line="75" w:lineRule="exact"/>
        <w:rPr>
          <w:sz w:val="20"/>
          <w:szCs w:val="20"/>
          <w:color w:val="auto"/>
        </w:rPr>
      </w:pPr>
    </w:p>
    <w:p>
      <w:pPr>
        <w:ind w:firstLine="233"/>
        <w:spacing w:after="0" w:line="257" w:lineRule="auto"/>
        <w:tabs>
          <w:tab w:leader="none" w:pos="4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only claims not being waived, released and discharged by this Paragraph 2 are those that are not waivable as a matter of applicable law; any claims the Executive may have for any wrongful act or omission occurring after the date the Executive signs this Agreement; any claims arising under this Agreement; any claims the Executive may have to government-sponsored and administered benefits such as unemployment insurance, state disability insurance and paid family leave insurance benefits; and any benefits that vested on or prior to the Termination Date pursuant to a written benefit plan sponsored by the Company and governed by the federal law known as “ERISA.”</w:t>
      </w:r>
    </w:p>
    <w:p>
      <w:pPr>
        <w:spacing w:after="0" w:line="80" w:lineRule="exact"/>
        <w:rPr>
          <w:rFonts w:ascii="Arial" w:cs="Arial" w:eastAsia="Arial" w:hAnsi="Arial"/>
          <w:sz w:val="18"/>
          <w:szCs w:val="18"/>
          <w:color w:val="auto"/>
        </w:rPr>
      </w:pPr>
    </w:p>
    <w:p>
      <w:pPr>
        <w:jc w:val="both"/>
        <w:ind w:right="400" w:firstLine="233"/>
        <w:spacing w:after="0" w:line="264" w:lineRule="auto"/>
        <w:tabs>
          <w:tab w:leader="none" w:pos="4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Nothing in this Agreement prevents the Executive from filing a charge with, cooperating with, or participating in any proceeding before the Equal Employment Opportunity Commission or a state fair employment practices agency (except that he acknowledges that he may not recover any monetary benefits in connection with any such claim, charge or proceeding).</w:t>
      </w:r>
    </w:p>
    <w:p>
      <w:pPr>
        <w:spacing w:after="0" w:line="69" w:lineRule="exact"/>
        <w:rPr>
          <w:rFonts w:ascii="Arial" w:cs="Arial" w:eastAsia="Arial" w:hAnsi="Arial"/>
          <w:sz w:val="18"/>
          <w:szCs w:val="18"/>
          <w:color w:val="auto"/>
        </w:rPr>
      </w:pPr>
    </w:p>
    <w:p>
      <w:pPr>
        <w:ind w:right="160" w:firstLine="8"/>
        <w:spacing w:after="0" w:line="266"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Expenses 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he has been reimbursed by the Company for all business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performance of his employment and that no other reimbursements are owed to him. The Executive further acknowledges that he has received payment in full for all services</w:t>
      </w:r>
    </w:p>
    <w:p>
      <w:pPr>
        <w:spacing w:after="0" w:line="153" w:lineRule="exact"/>
        <w:rPr>
          <w:rFonts w:ascii="Arial" w:cs="Arial" w:eastAsia="Arial" w:hAnsi="Arial"/>
          <w:sz w:val="18"/>
          <w:szCs w:val="18"/>
          <w:b w:val="1"/>
          <w:bCs w:val="1"/>
          <w:color w:val="auto"/>
        </w:rPr>
      </w:pPr>
    </w:p>
    <w:p>
      <w:pPr>
        <w:ind w:left="5660" w:hanging="96"/>
        <w:spacing w:after="0"/>
        <w:tabs>
          <w:tab w:leader="none" w:pos="56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rendered in conjunction with his employment by the Company and that no other compensation is owed to him except as provided in this Agreement.</w:t>
      </w:r>
    </w:p>
    <w:p>
      <w:pPr>
        <w:spacing w:after="0" w:line="125" w:lineRule="exact"/>
        <w:rPr>
          <w:sz w:val="20"/>
          <w:szCs w:val="20"/>
          <w:color w:val="auto"/>
        </w:rPr>
      </w:pPr>
    </w:p>
    <w:p>
      <w:pPr>
        <w:ind w:right="20" w:firstLine="8"/>
        <w:spacing w:after="0" w:line="272" w:lineRule="auto"/>
        <w:tabs>
          <w:tab w:leader="none" w:pos="1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Return of Company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confirms that he has returned to the Company all keys, files, records (and copies thereof), equipment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computer hardware, software and printers, wireless handheld devices, cellular phones, pagers, etc.), Company identification, Company vehicles and any other Company-owned property in his possession or control and has left intact all electronic Company documents, including but not limited to those that the Executive developed or helped to develop during his employment. Other than with respect to computer accounts or professional subscriptions in the Company’s name for the Executive’s benefit, the Executive further confirms that he has cancelled all other accounts for his benefit, if any, in the Company’s name, including but not limited to, credit cards, telephone charge cards, cellular phone and/or pager accounts. With respect to such computer accounts or professional subscriptions, if any, the Executive further agrees to work with the Company to make sure that such computer accounts or professional subscriptions are cancelled as soon as practicable after the Termination Date.</w:t>
      </w:r>
    </w:p>
    <w:p>
      <w:pPr>
        <w:spacing w:after="0" w:line="64" w:lineRule="exact"/>
        <w:rPr>
          <w:rFonts w:ascii="Arial" w:cs="Arial" w:eastAsia="Arial" w:hAnsi="Arial"/>
          <w:sz w:val="17"/>
          <w:szCs w:val="17"/>
          <w:b w:val="1"/>
          <w:bCs w:val="1"/>
          <w:color w:val="auto"/>
        </w:rPr>
      </w:pPr>
    </w:p>
    <w:p>
      <w:pPr>
        <w:ind w:right="200" w:firstLine="8"/>
        <w:spacing w:after="0" w:line="282"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and reaffirms his obligations as set forth in the American Superconductor Corporation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Nondisclosure and Developments Agreement dated June 2, 1998.</w:t>
      </w:r>
    </w:p>
    <w:p>
      <w:pPr>
        <w:spacing w:after="0" w:line="53" w:lineRule="exact"/>
        <w:rPr>
          <w:rFonts w:ascii="Arial" w:cs="Arial" w:eastAsia="Arial" w:hAnsi="Arial"/>
          <w:sz w:val="18"/>
          <w:szCs w:val="18"/>
          <w:b w:val="1"/>
          <w:bCs w:val="1"/>
          <w:color w:val="auto"/>
        </w:rPr>
      </w:pPr>
    </w:p>
    <w:p>
      <w:pPr>
        <w:ind w:right="520" w:firstLine="8"/>
        <w:spacing w:after="0" w:line="282"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Post-Employment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Severance Pay, the Executive agrees to abide by the following post-employment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w:t>
      </w:r>
    </w:p>
    <w:p>
      <w:pPr>
        <w:spacing w:after="0" w:line="57" w:lineRule="exact"/>
        <w:rPr>
          <w:rFonts w:ascii="Arial" w:cs="Arial" w:eastAsia="Arial" w:hAnsi="Arial"/>
          <w:sz w:val="18"/>
          <w:szCs w:val="18"/>
          <w:b w:val="1"/>
          <w:bCs w:val="1"/>
          <w:color w:val="auto"/>
        </w:rPr>
      </w:pPr>
    </w:p>
    <w:p>
      <w:pPr>
        <w:ind w:right="380" w:firstLine="233"/>
        <w:spacing w:after="0" w:line="293" w:lineRule="auto"/>
        <w:tabs>
          <w:tab w:leader="none" w:pos="47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For the period commencing on the Termination Date and ending on August 31, 2012 (the “Restricted Period”), and subject to the limitations set forth in this Paragraph 6, the Executive agrees that he shall not, directly or indirectly, either individually or as an employee, agent, partner, shareholder, owner, trustee, beneficiary, co-venturer, distributor, consultant or in any other capacity or through any affiliate, family member or otherwise, anywhere in the United States of America, China or Austria, participate in, provide assistance to, or have a financial or other interest in any Competing Enterprise. The ownership of less than a one percent (1%) interest in a Competing Enterprise whose shares are traded on a recognized stock exchange or traded on the over-the-counter market shall not be deemed to constitute financial participation by the Executive in a Competing Enterprise.</w:t>
      </w:r>
    </w:p>
    <w:p>
      <w:pPr>
        <w:spacing w:after="0" w:line="56" w:lineRule="exact"/>
        <w:rPr>
          <w:rFonts w:ascii="Arial" w:cs="Arial" w:eastAsia="Arial" w:hAnsi="Arial"/>
          <w:sz w:val="16"/>
          <w:szCs w:val="16"/>
          <w:color w:val="auto"/>
        </w:rPr>
      </w:pPr>
    </w:p>
    <w:p>
      <w:pPr>
        <w:ind w:right="580" w:firstLine="233"/>
        <w:spacing w:after="0" w:line="291" w:lineRule="auto"/>
        <w:tabs>
          <w:tab w:leader="none" w:pos="48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The Executive agrees that during the Restricted Period he will not: (i) contact, solicit or service any customers or prospective customer of the Company that were solicited or served on behalf of the Company during the Executive’s employment (hereafter “Active Customers”);</w:t>
      </w:r>
    </w:p>
    <w:p>
      <w:pPr>
        <w:spacing w:after="0" w:line="254" w:lineRule="auto"/>
        <w:rPr>
          <w:rFonts w:ascii="Arial" w:cs="Arial" w:eastAsia="Arial" w:hAnsi="Arial"/>
          <w:sz w:val="16"/>
          <w:szCs w:val="16"/>
          <w:color w:val="auto"/>
        </w:rPr>
      </w:pPr>
      <w:r>
        <w:rPr>
          <w:rFonts w:ascii="Arial" w:cs="Arial" w:eastAsia="Arial" w:hAnsi="Arial"/>
          <w:sz w:val="18"/>
          <w:szCs w:val="18"/>
          <w:color w:val="auto"/>
        </w:rPr>
        <w:t>(ii) directly or indirectly request or advise Active Customers or suppliers, vendors or other business contacts of the Company who currently have, or have had, business relationships with the Company during the Executives employment, to withdraw, curtail or cancel any of their business or relations with the Company; (iii) directly or indirectly induce or attempt to induce any employee or contractor of the Company whom the Executive had contact during his employment with</w:t>
      </w:r>
    </w:p>
    <w:p>
      <w:pPr>
        <w:spacing w:after="0" w:line="162" w:lineRule="exact"/>
        <w:rPr>
          <w:rFonts w:ascii="Arial" w:cs="Arial" w:eastAsia="Arial" w:hAnsi="Arial"/>
          <w:sz w:val="16"/>
          <w:szCs w:val="16"/>
          <w:color w:val="auto"/>
        </w:rPr>
      </w:pPr>
    </w:p>
    <w:p>
      <w:pPr>
        <w:ind w:left="5660" w:hanging="96"/>
        <w:spacing w:after="0"/>
        <w:tabs>
          <w:tab w:leader="none" w:pos="5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Company to terminate its, his or her relationship or breach its, his or her agreement with the Company.</w:t>
      </w:r>
    </w:p>
    <w:p>
      <w:pPr>
        <w:spacing w:after="0" w:line="117" w:lineRule="exact"/>
        <w:rPr>
          <w:sz w:val="20"/>
          <w:szCs w:val="20"/>
          <w:color w:val="auto"/>
        </w:rPr>
      </w:pPr>
    </w:p>
    <w:p>
      <w:pPr>
        <w:ind w:firstLine="233"/>
        <w:spacing w:after="0" w:line="259"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Nothing in this Agreement shall otherwise prohibit any future employer of the Executive from hiring employees or contractors of the Company without the Executive’s involvement or counsel. It shall not be a violation of this provision if such future employer hires employees or contractors who respond to a general solicitation provided that the Executive had no involvement with such person’s response to the advertisement and the future employer’s hiring decision.</w:t>
      </w:r>
    </w:p>
    <w:p>
      <w:pPr>
        <w:spacing w:after="0" w:line="78" w:lineRule="exact"/>
        <w:rPr>
          <w:rFonts w:ascii="Arial" w:cs="Arial" w:eastAsia="Arial" w:hAnsi="Arial"/>
          <w:sz w:val="18"/>
          <w:szCs w:val="18"/>
          <w:color w:val="auto"/>
        </w:rPr>
      </w:pPr>
    </w:p>
    <w:p>
      <w:pPr>
        <w:ind w:firstLine="233"/>
        <w:spacing w:after="0" w:line="270"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purposes of this Paragraph 6, Competing Enterprise shall have the following meaning: any enterprise, company or business unit of a large company, engaged in the design, development, manufacture, licensing or sale of power electronics for use in large scale products for electric reliability, power quality or utility scale wind turbines (generally at least 1,500 kw). Competing Enterprise shall also include, but not be limited to, any enterprise, organization or business unit of a large company involved in the design, development, manufacture, licensing or sale of high temperature, utility scale superconductor-based products. For example, Competing Enterprise shall include, but not be limited to: S&amp;C Electric, Satcon, SMA, and business units of General Electric, Siemens, ABB Ltd and Schneider Electric which are engaged in the design, development, manufacture, licensing or sale of power electronics for use in large scale products for electric reliability, power quality or utility scale wind turbines (generally at least 1,500 kw). The following shall not be deemed to be a Competing Enterprise: (i) any solar panel manufacturer which sources or manufactures its own utility scale inverters solely for its own use; (ii) any energy storage company which designs or manufactures its own utility scale power electronics solely for its own use; or (iii) any development company which is engaged in the development, construction, ownership and operation of power generation or renewable energy facilities.</w:t>
      </w:r>
    </w:p>
    <w:p>
      <w:pPr>
        <w:spacing w:after="0" w:line="69" w:lineRule="exact"/>
        <w:rPr>
          <w:rFonts w:ascii="Arial" w:cs="Arial" w:eastAsia="Arial" w:hAnsi="Arial"/>
          <w:sz w:val="17"/>
          <w:szCs w:val="17"/>
          <w:color w:val="auto"/>
        </w:rPr>
      </w:pPr>
    </w:p>
    <w:p>
      <w:pPr>
        <w:ind w:right="40" w:firstLine="233"/>
        <w:spacing w:after="0" w:line="291" w:lineRule="auto"/>
        <w:tabs>
          <w:tab w:leader="none" w:pos="4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Executive agrees that any breach of the terms of this Paragraph 6 would result in irreparable injury and damage the Company for which the Company would have no adequate remedy at law. The Executive therefore also agrees that in the event of any such breach or any threat of breach, in addition to any other remedies available at law or in equity, the Company shall be entitled to seek immediate injunctive relief, without having to post a bond or other security, and to recover all costs and expenses incurred by the Company, including reasonable attorneys’ fees and costs, in the event that the Company prevails in connection with such action. The terms of this Paragraph 6 shall not prevent the Company from pursuing any other available remedies for any breach or threatened breach hereof, including but not limited to, the recovery of damages from the Executive. The Executive further agrees that the covenants set forth in this Paragraph 6 are reasonable and valid, and the Executive waives all defenses to the strict enforcement thereof.</w:t>
      </w:r>
    </w:p>
    <w:p>
      <w:pPr>
        <w:spacing w:after="0" w:line="59" w:lineRule="exact"/>
        <w:rPr>
          <w:rFonts w:ascii="Arial" w:cs="Arial" w:eastAsia="Arial" w:hAnsi="Arial"/>
          <w:sz w:val="16"/>
          <w:szCs w:val="16"/>
          <w:color w:val="auto"/>
        </w:rPr>
      </w:pPr>
    </w:p>
    <w:p>
      <w:pPr>
        <w:ind w:right="120" w:firstLine="233"/>
        <w:spacing w:after="0" w:line="277"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this Paragraph 6 only, the legal relations between the parties hereto shall be governed by and construed in accordance with the laws of the State of Wisconsin, without regard to its conflict of laws rules.</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left="-8" w:firstLine="8"/>
        <w:spacing w:after="0" w:line="298" w:lineRule="auto"/>
        <w:tabs>
          <w:tab w:leader="none" w:pos="172"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understands and agree that, as a condition of the consideration described herein he shall not make any false,</w:t>
      </w:r>
      <w:r>
        <w:rPr>
          <w:rFonts w:ascii="Arial" w:cs="Arial" w:eastAsia="Arial" w:hAnsi="Arial"/>
          <w:sz w:val="16"/>
          <w:szCs w:val="16"/>
          <w:b w:val="1"/>
          <w:bCs w:val="1"/>
          <w:color w:val="auto"/>
        </w:rPr>
        <w:t xml:space="preserve"> </w:t>
      </w:r>
      <w:r>
        <w:rPr>
          <w:rFonts w:ascii="Arial" w:cs="Arial" w:eastAsia="Arial" w:hAnsi="Arial"/>
          <w:sz w:val="16"/>
          <w:szCs w:val="16"/>
          <w:color w:val="auto"/>
        </w:rPr>
        <w:t>disparaging or derogatory statements to any media outlet, industry group, financial institution or current or former employee, consultant, client or customer of the Company regarding the Company or any of its current or former directors, officers, employees, agents or representatives or about the Company’s business affairs or financial condition. The Company agrees to instruct its Senior Management and Board not make any false, disparaging or derogatory statements about the Executive to any media outlet, industry group, financial institution or current or former employee, consultant, client or customer of the Company.</w:t>
      </w:r>
    </w:p>
    <w:p>
      <w:pPr>
        <w:spacing w:after="0" w:line="46" w:lineRule="exact"/>
        <w:rPr>
          <w:rFonts w:ascii="Arial" w:cs="Arial" w:eastAsia="Arial" w:hAnsi="Arial"/>
          <w:sz w:val="16"/>
          <w:szCs w:val="16"/>
          <w:b w:val="1"/>
          <w:bCs w:val="1"/>
          <w:color w:val="auto"/>
        </w:rPr>
      </w:pPr>
    </w:p>
    <w:p>
      <w:pPr>
        <w:jc w:val="both"/>
        <w:ind w:left="-8" w:right="120" w:firstLine="8"/>
        <w:spacing w:after="0" w:line="261" w:lineRule="auto"/>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while he was employed by the Company he complied with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policies and practices in effect from time to time and that all of the actions taken by him on behalf of the Company or in furtherance of its business were in compliance with all applicable laws and regulations. The Executive further warrants and represents that he is not aware of any conduct that could give rise to any liability of the Released Parties.</w:t>
      </w:r>
    </w:p>
    <w:p>
      <w:pPr>
        <w:spacing w:after="0" w:line="71" w:lineRule="exact"/>
        <w:rPr>
          <w:rFonts w:ascii="Arial" w:cs="Arial" w:eastAsia="Arial" w:hAnsi="Arial"/>
          <w:sz w:val="18"/>
          <w:szCs w:val="18"/>
          <w:b w:val="1"/>
          <w:bCs w:val="1"/>
          <w:color w:val="auto"/>
        </w:rPr>
      </w:pPr>
    </w:p>
    <w:p>
      <w:pPr>
        <w:ind w:left="-8" w:right="40" w:firstLine="8"/>
        <w:spacing w:after="0" w:line="274" w:lineRule="auto"/>
        <w:tabs>
          <w:tab w:leader="none" w:pos="172"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Continued 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agrees that during the time period he is receiving the Severance Benefits stated in this Agreement, he will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all reasonable cooperation to the Company, including but not limited to, assisting the Company in transitioning his job duties, assisting the Company in defending against and/or prosecuting any litigation or threatened litigation, and performing any other tasks as reasonably requested by the Company so long as such assistance does not exceed 20 hours per month and a total of 180 hours over the 18 month period. For purposes of this provision, the 20 and 180 hour limits shall not apply to assistance with litigation and board service set forth in Section 1(e) above. The Company agrees to reimburse the Executive for reasonable business expenses incurred in such cooperation and to be reasonable in its requests for assistance.</w:t>
      </w:r>
    </w:p>
    <w:p>
      <w:pPr>
        <w:spacing w:after="0" w:line="65" w:lineRule="exact"/>
        <w:rPr>
          <w:rFonts w:ascii="Arial" w:cs="Arial" w:eastAsia="Arial" w:hAnsi="Arial"/>
          <w:sz w:val="17"/>
          <w:szCs w:val="17"/>
          <w:b w:val="1"/>
          <w:bCs w:val="1"/>
          <w:color w:val="auto"/>
        </w:rPr>
      </w:pPr>
    </w:p>
    <w:p>
      <w:pPr>
        <w:jc w:val="both"/>
        <w:ind w:left="-8" w:right="20" w:firstLine="8"/>
        <w:spacing w:after="0" w:line="266" w:lineRule="auto"/>
        <w:tabs>
          <w:tab w:leader="none" w:pos="26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the parties and may not be modified in any manner, except by an instrument in writing of concurrent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or subsequent date signed by duly authorized representatives of the parties hereto. This Agreement is binding upon and shall inure to the benefit of the parties and their respective agents, assigns, heirs, executors, successors and administrators.</w:t>
      </w:r>
    </w:p>
    <w:p>
      <w:pPr>
        <w:spacing w:after="0" w:line="68" w:lineRule="exact"/>
        <w:rPr>
          <w:rFonts w:ascii="Arial" w:cs="Arial" w:eastAsia="Arial" w:hAnsi="Arial"/>
          <w:sz w:val="18"/>
          <w:szCs w:val="18"/>
          <w:b w:val="1"/>
          <w:bCs w:val="1"/>
          <w:color w:val="auto"/>
        </w:rPr>
      </w:pPr>
    </w:p>
    <w:p>
      <w:pPr>
        <w:jc w:val="both"/>
        <w:ind w:left="-8" w:firstLine="8"/>
        <w:spacing w:after="0" w:line="266" w:lineRule="auto"/>
        <w:tabs>
          <w:tab w:leader="none" w:pos="2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 delay or omission by the Company in exercising any right under this Agreement shall operate as a waiver of that or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A waiver or consent given by the Company on any one occasion shall be effective only in that instance and shall not be construed as a bar to or waiver of any right on any other occasion.</w:t>
      </w:r>
    </w:p>
    <w:p>
      <w:pPr>
        <w:spacing w:after="0" w:line="68" w:lineRule="exact"/>
        <w:rPr>
          <w:rFonts w:ascii="Arial" w:cs="Arial" w:eastAsia="Arial" w:hAnsi="Arial"/>
          <w:sz w:val="18"/>
          <w:szCs w:val="18"/>
          <w:b w:val="1"/>
          <w:bCs w:val="1"/>
          <w:color w:val="auto"/>
        </w:rPr>
      </w:pPr>
    </w:p>
    <w:p>
      <w:pPr>
        <w:ind w:left="-8" w:right="60" w:firstLine="8"/>
        <w:spacing w:after="0" w:line="266" w:lineRule="auto"/>
        <w:tabs>
          <w:tab w:leader="none" w:pos="26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Agreement be declared or be determined by any court of competent jurisdiction to be illegal or invalid,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remaining parts, terms or provisions shall not be affected thereby and said illegal or invalid part, term or provision shall be deemed not to be a part of this Agreement .</w:t>
      </w:r>
    </w:p>
    <w:p>
      <w:pPr>
        <w:spacing w:after="0" w:line="68" w:lineRule="exact"/>
        <w:rPr>
          <w:rFonts w:ascii="Arial" w:cs="Arial" w:eastAsia="Arial" w:hAnsi="Arial"/>
          <w:sz w:val="18"/>
          <w:szCs w:val="18"/>
          <w:b w:val="1"/>
          <w:bCs w:val="1"/>
          <w:color w:val="auto"/>
        </w:rPr>
      </w:pPr>
    </w:p>
    <w:p>
      <w:pPr>
        <w:ind w:left="-8" w:right="140" w:firstLine="8"/>
        <w:spacing w:after="0" w:line="282" w:lineRule="auto"/>
        <w:tabs>
          <w:tab w:leader="none" w:pos="26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he has been given at least forty-five (45) days to consider this Agreement, including Attachments</w:t>
      </w:r>
      <w:r>
        <w:rPr>
          <w:rFonts w:ascii="Arial" w:cs="Arial" w:eastAsia="Arial" w:hAnsi="Arial"/>
          <w:sz w:val="18"/>
          <w:szCs w:val="18"/>
          <w:b w:val="1"/>
          <w:bCs w:val="1"/>
          <w:color w:val="auto"/>
        </w:rPr>
        <w:t xml:space="preserve"> </w:t>
      </w:r>
      <w:r>
        <w:rPr>
          <w:rFonts w:ascii="Arial" w:cs="Arial" w:eastAsia="Arial" w:hAnsi="Arial"/>
          <w:sz w:val="18"/>
          <w:szCs w:val="18"/>
          <w:color w:val="auto"/>
        </w:rPr>
        <w:t>A, B and C, and</w:t>
      </w:r>
    </w:p>
    <w:p>
      <w:pPr>
        <w:spacing w:after="0" w:line="138" w:lineRule="exact"/>
        <w:rPr>
          <w:rFonts w:ascii="Arial" w:cs="Arial" w:eastAsia="Arial" w:hAnsi="Arial"/>
          <w:sz w:val="18"/>
          <w:szCs w:val="18"/>
          <w:b w:val="1"/>
          <w:bCs w:val="1"/>
          <w:color w:val="auto"/>
        </w:rPr>
      </w:pPr>
    </w:p>
    <w:p>
      <w:pPr>
        <w:ind w:left="5652" w:hanging="96"/>
        <w:spacing w:after="0"/>
        <w:tabs>
          <w:tab w:leader="none" w:pos="56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56" w:name="page57"/>
    <w:bookmarkEnd w:id="56"/>
    <w:p>
      <w:pPr>
        <w:ind w:right="60"/>
        <w:spacing w:after="0" w:line="276" w:lineRule="auto"/>
        <w:rPr>
          <w:sz w:val="20"/>
          <w:szCs w:val="20"/>
          <w:color w:val="auto"/>
        </w:rPr>
      </w:pPr>
      <w:r>
        <w:rPr>
          <w:rFonts w:ascii="Arial" w:cs="Arial" w:eastAsia="Arial" w:hAnsi="Arial"/>
          <w:sz w:val="17"/>
          <w:szCs w:val="17"/>
          <w:color w:val="auto"/>
        </w:rPr>
        <w:t>that the Company advised him to consult with an attorney of his own choosing prior to signing this Agreement. Executive understands that he may revoke the Agreement for a period of seven (7) days after he signs this Agreement by notifying Susan DiCecco in writing, and the Agreement shall not be effective or enforceable until the expiration of this seven (7) day revocation period. The Executive understands and agrees that by entering into this Agreement, he is waiving any and all rights or claims he might have under the Age Discrimination in Employment Act, as amended by the Older Workers Benefit Protection Act, and that he has received consideration beyond that to which you were previously entitled.</w:t>
      </w:r>
    </w:p>
    <w:p>
      <w:pPr>
        <w:spacing w:after="0" w:line="60" w:lineRule="exact"/>
        <w:rPr>
          <w:sz w:val="20"/>
          <w:szCs w:val="20"/>
          <w:color w:val="auto"/>
        </w:rPr>
      </w:pPr>
    </w:p>
    <w:p>
      <w:pPr>
        <w:ind w:right="80" w:firstLine="8"/>
        <w:spacing w:after="0" w:line="298" w:lineRule="auto"/>
        <w:tabs>
          <w:tab w:leader="none" w:pos="27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Eligibility for Severance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this Agreement as Attachment B is a description of (i) any class, unit or group of individuals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program of enhanced severance benefits and any applicable time limits regarding such enhanced severance benefit program; and (ii) the job title and ages of all individuals eligible or selected for such enhanced severance benefit program, and the ages of all individuals in the same job classification or organizational unit who are not eligible or who were not selected for such enhanced severance benefit program. As the Executive was party to the Executive Agreement with the Company, he shall only receive benefits in accordance with this Agreement and not in accordance with the plan.</w:t>
      </w:r>
    </w:p>
    <w:p>
      <w:pPr>
        <w:spacing w:after="0" w:line="46" w:lineRule="exact"/>
        <w:rPr>
          <w:rFonts w:ascii="Arial" w:cs="Arial" w:eastAsia="Arial" w:hAnsi="Arial"/>
          <w:sz w:val="16"/>
          <w:szCs w:val="16"/>
          <w:b w:val="1"/>
          <w:bCs w:val="1"/>
          <w:color w:val="auto"/>
        </w:rPr>
      </w:pPr>
    </w:p>
    <w:p>
      <w:pPr>
        <w:ind w:right="480" w:firstLine="8"/>
        <w:spacing w:after="0" w:line="282" w:lineRule="auto"/>
        <w:tabs>
          <w:tab w:leader="none" w:pos="27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Agreement</w:t>
      </w:r>
      <w:r>
        <w:rPr>
          <w:rFonts w:ascii="Arial" w:cs="Arial" w:eastAsia="Arial" w:hAnsi="Arial"/>
          <w:sz w:val="18"/>
          <w:szCs w:val="18"/>
          <w:color w:val="auto"/>
        </w:rPr>
        <w:t>. The Executive understands and agrees that this Agreement is a severance agreement and does not constitute an admission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or wrongdoing on the part of the Company, or the Executive.</w:t>
      </w:r>
    </w:p>
    <w:p>
      <w:pPr>
        <w:spacing w:after="0" w:line="53" w:lineRule="exact"/>
        <w:rPr>
          <w:rFonts w:ascii="Arial" w:cs="Arial" w:eastAsia="Arial" w:hAnsi="Arial"/>
          <w:sz w:val="18"/>
          <w:szCs w:val="18"/>
          <w:b w:val="1"/>
          <w:bCs w:val="1"/>
          <w:color w:val="auto"/>
        </w:rPr>
      </w:pPr>
    </w:p>
    <w:p>
      <w:pPr>
        <w:ind w:firstLine="8"/>
        <w:spacing w:after="0" w:line="258" w:lineRule="auto"/>
        <w:tabs>
          <w:tab w:leader="none" w:pos="27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Voluntary Assent.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affirms that no other promises or agreements of any kind have been made to or with him by any person or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to cause him to sign this Agreement, and that he fully understands the meaning and intent of this Agreement. The Executive states and represents that he has had an opportunity to fully discuss and review the terms of this Agreement with an attorney. The Executive further states and represents that he has carefully read this Agreement, understands the contents herein, freely and voluntarily assents to all of the terms and conditions hereof, and signs his name of his own free act.</w:t>
      </w:r>
    </w:p>
    <w:p>
      <w:pPr>
        <w:spacing w:after="0" w:line="75" w:lineRule="exact"/>
        <w:rPr>
          <w:rFonts w:ascii="Arial" w:cs="Arial" w:eastAsia="Arial" w:hAnsi="Arial"/>
          <w:sz w:val="18"/>
          <w:szCs w:val="18"/>
          <w:b w:val="1"/>
          <w:bCs w:val="1"/>
          <w:color w:val="auto"/>
        </w:rPr>
      </w:pPr>
    </w:p>
    <w:p>
      <w:pPr>
        <w:ind w:right="600" w:firstLine="8"/>
        <w:spacing w:after="0" w:line="282" w:lineRule="auto"/>
        <w:tabs>
          <w:tab w:leader="none" w:pos="27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other than Paragraph 6, shall be interpreted and construed by the laws of the Commonwealth of Massachusetts,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laws provisions.</w:t>
      </w:r>
    </w:p>
    <w:p>
      <w:pPr>
        <w:spacing w:after="0" w:line="53" w:lineRule="exact"/>
        <w:rPr>
          <w:rFonts w:ascii="Arial" w:cs="Arial" w:eastAsia="Arial" w:hAnsi="Arial"/>
          <w:sz w:val="18"/>
          <w:szCs w:val="18"/>
          <w:b w:val="1"/>
          <w:bCs w:val="1"/>
          <w:color w:val="auto"/>
        </w:rPr>
      </w:pPr>
    </w:p>
    <w:p>
      <w:pPr>
        <w:ind w:right="220" w:firstLine="8"/>
        <w:spacing w:after="0" w:line="281" w:lineRule="auto"/>
        <w:tabs>
          <w:tab w:leader="none" w:pos="27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 and constitute the entire understanding and agreement between the parties hereto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severance benefits and the settlement of claims against the Company and cancel all previous oral and written negotiations, agreements, commitments and writings in connection therewith, including, without limitation, the Offer Letter and the Executive Agreement. Nothing in this paragraph, however, shall modify, cancel or supersede the Executive’s obligations set forth in Paragraphs 5, 6 and 7 above.</w:t>
      </w:r>
    </w:p>
    <w:p>
      <w:pPr>
        <w:spacing w:after="0" w:line="56" w:lineRule="exact"/>
        <w:rPr>
          <w:rFonts w:ascii="Arial" w:cs="Arial" w:eastAsia="Arial" w:hAnsi="Arial"/>
          <w:sz w:val="17"/>
          <w:szCs w:val="17"/>
          <w:b w:val="1"/>
          <w:bCs w:val="1"/>
          <w:color w:val="auto"/>
        </w:rPr>
      </w:pPr>
    </w:p>
    <w:p>
      <w:pPr>
        <w:ind w:left="280" w:hanging="272"/>
        <w:spacing w:after="0"/>
        <w:tabs>
          <w:tab w:leader="none" w:pos="2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intend that the payments and benefits hereunder be exempt from or comply with the provisions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409A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Internal Revenue Code of 1986, as amended (together with Treasury Regulations and other written guidance, “Section 409A”). The Company makes no representation or warranty and shall have no liability to the Executive or any other person as to the tax consequences of payments or benefits hereunder, including liability that may arise if any provisions of this Agreement and the attachments hereto are determined to constitute deferred compensation subject to Section 409A but do not satisfy the conditions of such section.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AMERICAN SUPERCONDUCTOR CORPORATION</w:t>
            </w:r>
          </w:p>
        </w:tc>
        <w:tc>
          <w:tcPr>
            <w:tcW w:w="7040" w:type="dxa"/>
            <w:vAlign w:val="bottom"/>
          </w:tcPr>
          <w:p>
            <w:pPr>
              <w:spacing w:after="0"/>
              <w:rPr>
                <w:sz w:val="20"/>
                <w:szCs w:val="20"/>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By: /s/ Daniel P. McGahn</w:t>
            </w:r>
          </w:p>
        </w:tc>
        <w:tc>
          <w:tcPr>
            <w:tcW w:w="7040" w:type="dxa"/>
            <w:vAlign w:val="bottom"/>
          </w:tcPr>
          <w:p>
            <w:pPr>
              <w:ind w:left="1580"/>
              <w:spacing w:after="0"/>
              <w:rPr>
                <w:sz w:val="20"/>
                <w:szCs w:val="20"/>
                <w:color w:val="auto"/>
              </w:rPr>
            </w:pPr>
            <w:r>
              <w:rPr>
                <w:rFonts w:ascii="Arial" w:cs="Arial" w:eastAsia="Arial" w:hAnsi="Arial"/>
                <w:sz w:val="18"/>
                <w:szCs w:val="18"/>
                <w:color w:val="auto"/>
              </w:rPr>
              <w:t>September 12, 2011</w:t>
            </w: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McGahn</w:t>
            </w:r>
          </w:p>
        </w:tc>
        <w:tc>
          <w:tcPr>
            <w:tcW w:w="7040" w:type="dxa"/>
            <w:vAlign w:val="bottom"/>
          </w:tcPr>
          <w:p>
            <w:pPr>
              <w:ind w:left="1580"/>
              <w:spacing w:after="0"/>
              <w:rPr>
                <w:sz w:val="20"/>
                <w:szCs w:val="20"/>
                <w:color w:val="auto"/>
              </w:rPr>
            </w:pPr>
            <w:r>
              <w:rPr>
                <w:rFonts w:ascii="Arial" w:cs="Arial" w:eastAsia="Arial" w:hAnsi="Arial"/>
                <w:sz w:val="18"/>
                <w:szCs w:val="18"/>
                <w:color w:val="auto"/>
              </w:rPr>
              <w:t>Date</w:t>
            </w:r>
          </w:p>
        </w:tc>
      </w:tr>
      <w:tr>
        <w:trPr>
          <w:trHeight w:val="230"/>
        </w:trPr>
        <w:tc>
          <w:tcPr>
            <w:tcW w:w="3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7040" w:type="dxa"/>
            <w:vAlign w:val="bottom"/>
          </w:tcPr>
          <w:p>
            <w:pPr>
              <w:spacing w:after="0"/>
              <w:rPr>
                <w:sz w:val="20"/>
                <w:szCs w:val="20"/>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CHARLES W. STANKIEWICZ</w:t>
            </w:r>
          </w:p>
        </w:tc>
        <w:tc>
          <w:tcPr>
            <w:tcW w:w="7040" w:type="dxa"/>
            <w:vAlign w:val="bottom"/>
          </w:tcPr>
          <w:p>
            <w:pPr>
              <w:spacing w:after="0"/>
              <w:rPr>
                <w:sz w:val="24"/>
                <w:szCs w:val="24"/>
                <w:color w:val="auto"/>
              </w:rPr>
            </w:pPr>
          </w:p>
        </w:tc>
      </w:tr>
      <w:tr>
        <w:trPr>
          <w:trHeight w:val="432"/>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W. Stankiewicz</w:t>
            </w:r>
          </w:p>
        </w:tc>
        <w:tc>
          <w:tcPr>
            <w:tcW w:w="7040" w:type="dxa"/>
            <w:vAlign w:val="bottom"/>
          </w:tcPr>
          <w:p>
            <w:pPr>
              <w:ind w:left="1580"/>
              <w:spacing w:after="0"/>
              <w:rPr>
                <w:sz w:val="20"/>
                <w:szCs w:val="20"/>
                <w:color w:val="auto"/>
              </w:rPr>
            </w:pPr>
            <w:r>
              <w:rPr>
                <w:rFonts w:ascii="Arial" w:cs="Arial" w:eastAsia="Arial" w:hAnsi="Arial"/>
                <w:sz w:val="18"/>
                <w:szCs w:val="18"/>
                <w:color w:val="auto"/>
              </w:rPr>
              <w:t>September 12, 2011</w:t>
            </w:r>
          </w:p>
        </w:tc>
      </w:tr>
      <w:tr>
        <w:trPr>
          <w:trHeight w:val="210"/>
        </w:trPr>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rPr>
              <w:t>Date</w:t>
            </w:r>
          </w:p>
        </w:tc>
      </w:tr>
      <w:tr>
        <w:trPr>
          <w:trHeight w:val="631"/>
        </w:trPr>
        <w:tc>
          <w:tcPr>
            <w:tcW w:w="3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PAYMENTS SUBJECT TO SECTION 409A</w:t>
      </w:r>
    </w:p>
    <w:p>
      <w:pPr>
        <w:spacing w:after="0" w:line="121" w:lineRule="exact"/>
        <w:rPr>
          <w:sz w:val="20"/>
          <w:szCs w:val="20"/>
          <w:color w:val="auto"/>
        </w:rPr>
      </w:pPr>
    </w:p>
    <w:p>
      <w:pPr>
        <w:ind w:firstLine="8"/>
        <w:spacing w:after="0" w:line="312" w:lineRule="auto"/>
        <w:tabs>
          <w:tab w:leader="none" w:pos="18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Subject to this Attachment A, any Severance Benefits that may be due under the Agreement to which this Attachment A is attached shall begin only upon the date of the Executive’s “separation from service” (determined as set forth below) which occurs on or after the cessation of his employment. The following rules shall apply with respect to distribution of the Severance Benefits, if any, to be provided to the Executive under the Agreement, as applicable:</w:t>
      </w:r>
    </w:p>
    <w:p>
      <w:pPr>
        <w:spacing w:after="0" w:line="39" w:lineRule="exact"/>
        <w:rPr>
          <w:sz w:val="20"/>
          <w:szCs w:val="20"/>
          <w:color w:val="auto"/>
        </w:rPr>
      </w:pPr>
    </w:p>
    <w:p>
      <w:pPr>
        <w:ind w:left="480" w:hanging="24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intended that each installment of the Severance Benefits under the Agreement shall be treated as a “separate payment” for purposes of</w:t>
      </w:r>
    </w:p>
    <w:p>
      <w:pPr>
        <w:spacing w:after="0" w:line="34" w:lineRule="exact"/>
        <w:rPr>
          <w:rFonts w:ascii="Arial" w:cs="Arial" w:eastAsia="Arial" w:hAnsi="Arial"/>
          <w:sz w:val="17"/>
          <w:szCs w:val="17"/>
          <w:color w:val="auto"/>
        </w:rPr>
      </w:pPr>
    </w:p>
    <w:p>
      <w:pPr>
        <w:ind w:right="460"/>
        <w:spacing w:after="0" w:line="261" w:lineRule="auto"/>
        <w:rPr>
          <w:rFonts w:ascii="Arial" w:cs="Arial" w:eastAsia="Arial" w:hAnsi="Arial"/>
          <w:sz w:val="17"/>
          <w:szCs w:val="17"/>
          <w:color w:val="auto"/>
        </w:rPr>
      </w:pPr>
      <w:r>
        <w:rPr>
          <w:rFonts w:ascii="Arial" w:cs="Arial" w:eastAsia="Arial" w:hAnsi="Arial"/>
          <w:sz w:val="18"/>
          <w:szCs w:val="18"/>
          <w:color w:val="auto"/>
        </w:rPr>
        <w:t>Section 409A . Neither the Company nor the Executive shall have the right to accelerate or defer the delivery of any such payments except to the extent specifically permitted or required by Section 409A.</w:t>
      </w:r>
    </w:p>
    <w:p>
      <w:pPr>
        <w:spacing w:after="0" w:line="75" w:lineRule="exact"/>
        <w:rPr>
          <w:rFonts w:ascii="Arial" w:cs="Arial" w:eastAsia="Arial" w:hAnsi="Arial"/>
          <w:sz w:val="17"/>
          <w:szCs w:val="17"/>
          <w:color w:val="auto"/>
        </w:rPr>
      </w:pPr>
    </w:p>
    <w:p>
      <w:pPr>
        <w:ind w:right="980" w:firstLine="233"/>
        <w:spacing w:after="0" w:line="342"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as of the date of the Executive’s “separation from service” from the Company, he is not a “specified employee” (within the meaning of Section 409A), then each installment of the Severance Benefits shall be made on the dates and terms set forth in the Agreement.</w:t>
      </w:r>
    </w:p>
    <w:p>
      <w:pPr>
        <w:spacing w:after="0" w:line="15" w:lineRule="exact"/>
        <w:rPr>
          <w:rFonts w:ascii="Arial" w:cs="Arial" w:eastAsia="Arial" w:hAnsi="Arial"/>
          <w:sz w:val="16"/>
          <w:szCs w:val="16"/>
          <w:color w:val="auto"/>
        </w:rPr>
      </w:pPr>
    </w:p>
    <w:p>
      <w:pPr>
        <w:ind w:left="480" w:hanging="247"/>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as of the date of the Executive’s “separation from service” from the Company, he is a “specified employee” (within the meaning of Section 409A),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02" w:lineRule="exact"/>
        <w:rPr>
          <w:rFonts w:ascii="Arial" w:cs="Arial" w:eastAsia="Arial" w:hAnsi="Arial"/>
          <w:sz w:val="16"/>
          <w:szCs w:val="16"/>
          <w:color w:val="auto"/>
        </w:rPr>
      </w:pPr>
    </w:p>
    <w:p>
      <w:pPr>
        <w:ind w:right="640" w:firstLine="458"/>
        <w:spacing w:after="0" w:line="291" w:lineRule="auto"/>
        <w:tabs>
          <w:tab w:leader="none" w:pos="66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installment of the Severance Benefits due under the Agreement that, in accordance with the dates and terms set forth herein, will in all circumstances, regardless of when the Executive’s separation from service occurs, be paid within the short-term deferral period (as defined under</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 shall be treated as a short-term deferral within the meaning of Treasury Regulation Section 1.409A-1(b)(4) to the maximum extent permissible under Section 409A; and</w:t>
      </w:r>
    </w:p>
    <w:p>
      <w:pPr>
        <w:spacing w:after="0" w:line="75" w:lineRule="exact"/>
        <w:rPr>
          <w:rFonts w:ascii="Arial" w:cs="Arial" w:eastAsia="Arial" w:hAnsi="Arial"/>
          <w:sz w:val="16"/>
          <w:szCs w:val="16"/>
          <w:color w:val="auto"/>
        </w:rPr>
      </w:pPr>
    </w:p>
    <w:p>
      <w:pPr>
        <w:ind w:right="120" w:firstLine="458"/>
        <w:spacing w:after="0" w:line="271" w:lineRule="auto"/>
        <w:tabs>
          <w:tab w:leader="none" w:pos="7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installment of the Severance Benefits due under the Agreement that is not described in this Attachment A, Section 1(c)(i) and that would, absent this subsection, be paid within the six-month period following his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his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60" w:name="page61"/>
    <w:bookmarkEnd w:id="60"/>
    <w:p>
      <w:pPr>
        <w:ind w:right="180"/>
        <w:spacing w:after="0" w:line="277" w:lineRule="auto"/>
        <w:rPr>
          <w:sz w:val="20"/>
          <w:szCs w:val="20"/>
          <w:color w:val="auto"/>
        </w:rPr>
      </w:pPr>
      <w:r>
        <w:rPr>
          <w:rFonts w:ascii="Arial" w:cs="Arial" w:eastAsia="Arial" w:hAnsi="Arial"/>
          <w:sz w:val="18"/>
          <w:szCs w:val="18"/>
          <w:color w:val="auto"/>
        </w:rPr>
        <w:t>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62" w:lineRule="exact"/>
        <w:rPr>
          <w:sz w:val="20"/>
          <w:szCs w:val="20"/>
          <w:color w:val="auto"/>
        </w:rPr>
      </w:pPr>
    </w:p>
    <w:p>
      <w:pPr>
        <w:jc w:val="both"/>
        <w:ind w:right="100" w:firstLine="8"/>
        <w:spacing w:after="0" w:line="312" w:lineRule="auto"/>
        <w:tabs>
          <w:tab w:leader="none" w:pos="18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determination of whether and when the Executive’s separation from service from the Company has occurred shall be made and in a manner consistent with, and based on the presumptions set forth in, Treasury Regulation Section 1.409A-1(h). Solely for purposes of this Attachment A, Section 2, “Company” shall include all persons with whom the Company would be considered a single employer under Section 414(b) and 414(c) of the Code.</w:t>
      </w:r>
    </w:p>
    <w:p>
      <w:pPr>
        <w:spacing w:after="0" w:line="38" w:lineRule="exact"/>
        <w:rPr>
          <w:rFonts w:ascii="Arial" w:cs="Arial" w:eastAsia="Arial" w:hAnsi="Arial"/>
          <w:sz w:val="16"/>
          <w:szCs w:val="16"/>
          <w:b w:val="1"/>
          <w:bCs w:val="1"/>
          <w:color w:val="auto"/>
        </w:rPr>
      </w:pPr>
    </w:p>
    <w:p>
      <w:pPr>
        <w:ind w:firstLine="8"/>
        <w:spacing w:after="0" w:line="264"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Attachment) are determined to constitute deferred compensation subject to Section 409A but that do not satisfy an exemption from, or the conditions of, that section.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4980"/>
        <w:spacing w:after="0"/>
        <w:rPr>
          <w:sz w:val="20"/>
          <w:szCs w:val="20"/>
          <w:color w:val="auto"/>
        </w:rPr>
      </w:pPr>
      <w:r>
        <w:rPr>
          <w:rFonts w:ascii="Arial" w:cs="Arial" w:eastAsia="Arial" w:hAnsi="Arial"/>
          <w:sz w:val="18"/>
          <w:szCs w:val="18"/>
          <w:b w:val="1"/>
          <w:bCs w:val="1"/>
          <w:u w:val="single" w:color="auto"/>
          <w:color w:val="auto"/>
        </w:rPr>
        <w:t>ATTACHMENT B</w:t>
      </w:r>
    </w:p>
    <w:p>
      <w:pPr>
        <w:spacing w:after="0" w:line="12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OLDER WORKERS BENEFIT PROTECTION ACT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TO EMPLOYEES</w:t>
      </w:r>
    </w:p>
    <w:p>
      <w:pPr>
        <w:spacing w:after="0" w:line="103" w:lineRule="exact"/>
        <w:rPr>
          <w:sz w:val="20"/>
          <w:szCs w:val="20"/>
          <w:color w:val="auto"/>
        </w:rPr>
      </w:pPr>
    </w:p>
    <w:p>
      <w:pPr>
        <w:ind w:right="40" w:firstLine="215"/>
        <w:spacing w:after="0" w:line="272" w:lineRule="auto"/>
        <w:rPr>
          <w:sz w:val="20"/>
          <w:szCs w:val="20"/>
          <w:color w:val="auto"/>
        </w:rPr>
      </w:pPr>
      <w:r>
        <w:rPr>
          <w:rFonts w:ascii="Arial" w:cs="Arial" w:eastAsia="Arial" w:hAnsi="Arial"/>
          <w:sz w:val="17"/>
          <w:szCs w:val="17"/>
          <w:color w:val="auto"/>
        </w:rPr>
        <w:t>As a result of the Company’s efforts to better align its costs with its current cash flow, your employment with the Company is being terminated and you have been selected to receive an offer of enhanced severance benefits in exchange for signing a release and waiver of claims. In selecting you for termination and eligibility for this enhanced severance program, the Company considered position held, skill set and individual performance. In connection with the enhanced severance program, you are being provided with information as to: (i) any class, unit or group of individuals terminated and covered by such program, any eligibility factors for such termination and, therefore, eligibility for such program, and any time limits applicable to such program; and (ii) the job title and ages of all individuals terminated and, therefore, eligible or selected for the program, and the ages of all individuals in the same job classification or organizational unit who are not terminated and, therefore, are not eligible or selected for the program.</w:t>
      </w:r>
    </w:p>
    <w:p>
      <w:pPr>
        <w:spacing w:after="0" w:line="70"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The Company determined that all employees in the classes, units or departments in the chart below would be eligible for the enhanced severance program. All persons who are being terminated in connection with this action have been selected for the program and their job titles and ages have been indicated in the chart below. The job titles and ages of individuals who were not selected for the program are also indicated in the below chart.</w:t>
      </w:r>
    </w:p>
    <w:p>
      <w:pPr>
        <w:spacing w:after="0" w:line="5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Employees who were selected and are age forty and over shall have forty-five (45) days to consider the Company’s enhanced severance offer and may revoke their agreement to participate in the enhanced severance program within seven (7) days of their execution of such an agreement. Employees who were selected and are under age forty shall have at least seven (7) days to consider the Company’s enhanced severance offer and do not have a right of revocation.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 Chart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Wisconsin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Class/Unit/</w:t>
            </w:r>
          </w:p>
        </w:tc>
        <w:tc>
          <w:tcPr>
            <w:tcW w:w="220" w:type="dxa"/>
            <w:vAlign w:val="bottom"/>
          </w:tcPr>
          <w:p>
            <w:pPr>
              <w:spacing w:after="0"/>
              <w:rPr>
                <w:sz w:val="14"/>
                <w:szCs w:val="14"/>
                <w:color w:val="auto"/>
              </w:rPr>
            </w:pPr>
          </w:p>
        </w:tc>
        <w:tc>
          <w:tcPr>
            <w:tcW w:w="3460" w:type="dxa"/>
            <w:vAlign w:val="bottom"/>
          </w:tcPr>
          <w:p>
            <w:pPr>
              <w:ind w:left="1200"/>
              <w:spacing w:after="0"/>
              <w:rPr>
                <w:sz w:val="20"/>
                <w:szCs w:val="20"/>
                <w:color w:val="auto"/>
              </w:rPr>
            </w:pPr>
            <w:r>
              <w:rPr>
                <w:rFonts w:ascii="Arial" w:cs="Arial" w:eastAsia="Arial" w:hAnsi="Arial"/>
                <w:sz w:val="14"/>
                <w:szCs w:val="14"/>
                <w:color w:val="auto"/>
              </w:rPr>
              <w:t>Job Title and Ages</w:t>
            </w:r>
          </w:p>
        </w:tc>
        <w:tc>
          <w:tcPr>
            <w:tcW w:w="220" w:type="dxa"/>
            <w:vAlign w:val="bottom"/>
          </w:tcPr>
          <w:p>
            <w:pPr>
              <w:spacing w:after="0"/>
              <w:rPr>
                <w:sz w:val="14"/>
                <w:szCs w:val="14"/>
                <w:color w:val="auto"/>
              </w:rPr>
            </w:pPr>
          </w:p>
        </w:tc>
        <w:tc>
          <w:tcPr>
            <w:tcW w:w="4640" w:type="dxa"/>
            <w:vAlign w:val="bottom"/>
          </w:tcPr>
          <w:p>
            <w:pPr>
              <w:ind w:left="1700"/>
              <w:spacing w:after="0"/>
              <w:rPr>
                <w:sz w:val="20"/>
                <w:szCs w:val="20"/>
                <w:color w:val="auto"/>
              </w:rPr>
            </w:pPr>
            <w:r>
              <w:rPr>
                <w:rFonts w:ascii="Arial" w:cs="Arial" w:eastAsia="Arial" w:hAnsi="Arial"/>
                <w:sz w:val="14"/>
                <w:szCs w:val="14"/>
                <w:color w:val="auto"/>
              </w:rPr>
              <w:t>Job Title and Ages of</w:t>
            </w:r>
          </w:p>
        </w:tc>
      </w:tr>
      <w:tr>
        <w:trPr>
          <w:trHeight w:val="16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Department</w:t>
            </w:r>
          </w:p>
        </w:tc>
        <w:tc>
          <w:tcPr>
            <w:tcW w:w="220" w:type="dxa"/>
            <w:vAlign w:val="bottom"/>
          </w:tcPr>
          <w:p>
            <w:pPr>
              <w:spacing w:after="0"/>
              <w:rPr>
                <w:sz w:val="14"/>
                <w:szCs w:val="14"/>
                <w:color w:val="auto"/>
              </w:rPr>
            </w:pPr>
          </w:p>
        </w:tc>
        <w:tc>
          <w:tcPr>
            <w:tcW w:w="346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of Employees Selected</w:t>
            </w:r>
          </w:p>
        </w:tc>
        <w:tc>
          <w:tcPr>
            <w:tcW w:w="220" w:type="dxa"/>
            <w:vAlign w:val="bottom"/>
          </w:tcPr>
          <w:p>
            <w:pPr>
              <w:spacing w:after="0"/>
              <w:rPr>
                <w:sz w:val="14"/>
                <w:szCs w:val="14"/>
                <w:color w:val="auto"/>
              </w:rPr>
            </w:pPr>
          </w:p>
        </w:tc>
        <w:tc>
          <w:tcPr>
            <w:tcW w:w="464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Employees Not Selected</w:t>
            </w:r>
          </w:p>
        </w:tc>
      </w:tr>
      <w:tr>
        <w:trPr>
          <w:trHeight w:val="195"/>
        </w:trPr>
        <w:tc>
          <w:tcPr>
            <w:tcW w:w="2880" w:type="dxa"/>
            <w:vAlign w:val="bottom"/>
          </w:tcPr>
          <w:p>
            <w:pPr>
              <w:spacing w:after="0" w:line="195" w:lineRule="exact"/>
              <w:rPr>
                <w:sz w:val="20"/>
                <w:szCs w:val="20"/>
                <w:color w:val="auto"/>
              </w:rPr>
            </w:pPr>
            <w:r>
              <w:rPr>
                <w:rFonts w:ascii="Arial" w:cs="Arial" w:eastAsia="Arial" w:hAnsi="Arial"/>
                <w:sz w:val="18"/>
                <w:szCs w:val="18"/>
                <w:color w:val="auto"/>
              </w:rPr>
              <w:t>Engineering</w:t>
            </w:r>
          </w:p>
        </w:tc>
        <w:tc>
          <w:tcPr>
            <w:tcW w:w="2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..Controls.Engineer - 29</w:t>
            </w:r>
          </w:p>
        </w:tc>
        <w:tc>
          <w:tcPr>
            <w:tcW w:w="22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..Application &amp; Standards.Manager - 60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..Design.Drafter - 25, 27, 33</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.Associate.Product Field Support.Engineer - 41</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Director..Global.Engineering Integration - 49</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Engineer.Engineer Advanced Technology. - 52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..Electrical Applications.Engineer - 48</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..Design.Engineer - 55</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..Electrical.Engineer - 25, 26, 42</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.Director.Design &amp; Development. - 60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..Electronic Development.Technician - 37</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.Director.Engineering.Support Systems - 55</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..Embedded Software.Engineer - 50</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Director..Inverter Technology. - 45</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..Engineering.Technician - 52</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..Electrical.Designer - 58</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.Manager.Engineering.Services - 51</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..Electrical.Engineer - 24, 26, 32, 34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.Principal.Applications.Engineer - 42</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..Electronic Development.Technician - 32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2"/>
              </w:rPr>
              <w:t>.Principal.Power Electronics Controls.Engineer</w:t>
            </w:r>
          </w:p>
        </w:tc>
        <w:tc>
          <w:tcPr>
            <w:tcW w:w="22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- 46</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..Embedded Software.Engineer - 36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.Senior.Mechanical Design.Engineer - 52</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.Lead.Software.Engineer - 38, 42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.Senior.Hardware Design.Engineer - 45</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Director..Advanced Technology. - 57</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 Prinicipal.Design.Engineer - 54</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Director..Power Systems Engineering. - 62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.Senior.Software.Engineer - 51, 57</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Director.Software.Engineering - 51</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.Senior.Technical Fellow. - 54</w:t>
            </w: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..Mechanical.Engineer - 29, 37</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..Power Conversion Products.Manager - 42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..Power Systems.Engineer - 26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.Principal.Design.Engineer - 35, 46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.Principal.Power Electronics.Engineer - 44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.Principal.Quality &amp; Reliability.Engineer - 58</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..Product Field Support.Engineer - 37</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...Product Manager - 43</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Prinicipal..Engineer - 34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Prinicipal.Design.Engineer - 51</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Prinicipal.Mechanical Packaging.Engineer - 59</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Prinicipal.Power Conversion.Engineer - 56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Prinicipal.Power Electronics.Engineer - 36, 39, 64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Prinicipal.Research &amp; Development.Engineer - 36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Prinicipal.Software.Engineer - 60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.Senior.Electronic Development.Technician - 48, 61</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.Senior.Linux Database.Engineer - 50</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.Senior.Software.Engineer - 47, 49, 52, 62</w:t>
            </w:r>
          </w:p>
        </w:tc>
      </w:tr>
      <w:tr>
        <w:trPr>
          <w:trHeight w:val="405"/>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ind w:left="2380"/>
              <w:spacing w:after="0"/>
              <w:rPr>
                <w:sz w:val="20"/>
                <w:szCs w:val="20"/>
                <w:color w:val="auto"/>
              </w:rPr>
            </w:pPr>
            <w:r>
              <w:rPr>
                <w:rFonts w:ascii="Arial" w:cs="Arial" w:eastAsia="Arial" w:hAnsi="Arial"/>
                <w:sz w:val="18"/>
                <w:szCs w:val="18"/>
                <w:color w:val="auto"/>
              </w:rPr>
              <w:t>Page 1</w:t>
            </w:r>
          </w:p>
        </w:tc>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26"/>
        </w:trPr>
        <w:tc>
          <w:tcPr>
            <w:tcW w:w="2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Wisconsin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4"/>
                <w:szCs w:val="14"/>
                <w:color w:val="auto"/>
              </w:rPr>
              <w:t>Class/Unit/</w:t>
            </w:r>
          </w:p>
        </w:tc>
        <w:tc>
          <w:tcPr>
            <w:tcW w:w="22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w w:val="93"/>
              </w:rPr>
              <w:t>Job Title and Ages</w:t>
            </w:r>
          </w:p>
        </w:tc>
        <w:tc>
          <w:tcPr>
            <w:tcW w:w="220" w:type="dxa"/>
            <w:vAlign w:val="bottom"/>
          </w:tcPr>
          <w:p>
            <w:pPr>
              <w:spacing w:after="0"/>
              <w:rPr>
                <w:sz w:val="14"/>
                <w:szCs w:val="14"/>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4"/>
              </w:rPr>
              <w:t>Job Title and Ages of</w:t>
            </w:r>
          </w:p>
        </w:tc>
      </w:tr>
      <w:tr>
        <w:trPr>
          <w:trHeight w:val="167"/>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Department</w:t>
            </w:r>
          </w:p>
        </w:tc>
        <w:tc>
          <w:tcPr>
            <w:tcW w:w="220" w:type="dxa"/>
            <w:vAlign w:val="bottom"/>
          </w:tcPr>
          <w:p>
            <w:pPr>
              <w:spacing w:after="0"/>
              <w:rPr>
                <w:sz w:val="14"/>
                <w:szCs w:val="14"/>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Employees Selected</w:t>
            </w:r>
          </w:p>
        </w:tc>
        <w:tc>
          <w:tcPr>
            <w:tcW w:w="2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Employees Not Selected</w:t>
            </w:r>
          </w:p>
        </w:tc>
      </w:tr>
      <w:tr>
        <w:trPr>
          <w:trHeight w:val="195"/>
        </w:trPr>
        <w:tc>
          <w:tcPr>
            <w:tcW w:w="2780" w:type="dxa"/>
            <w:vAlign w:val="bottom"/>
          </w:tcPr>
          <w:p>
            <w:pPr>
              <w:spacing w:after="0" w:line="195" w:lineRule="exact"/>
              <w:rPr>
                <w:sz w:val="20"/>
                <w:szCs w:val="20"/>
                <w:color w:val="auto"/>
              </w:rPr>
            </w:pPr>
            <w:r>
              <w:rPr>
                <w:rFonts w:ascii="Arial" w:cs="Arial" w:eastAsia="Arial" w:hAnsi="Arial"/>
                <w:sz w:val="18"/>
                <w:szCs w:val="18"/>
                <w:color w:val="auto"/>
              </w:rPr>
              <w:t>Engineering (continued)</w:t>
            </w:r>
          </w:p>
        </w:tc>
        <w:tc>
          <w:tcPr>
            <w:tcW w:w="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Senior.Principal.Embedded Software.Engineer - 32, 46</w:t>
            </w: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.Senior.Technical Fellow. - 41</w:t>
            </w: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..Technical.Writer III - 71</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..Test.Engineer - 49</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Information Technology</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..Global Business.Analyst Non ERP - 48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..Applications.Developer - 30</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..IT Application.Developer - 34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..Application Integration.Manager - 39</w:t>
            </w: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..Network.Supervisor - 46</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.Senior.Linux Database.Engineer - 43</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Human Resources / EH&amp;S</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..Human Resources.Assistant - 27</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..Human Resources.Business Partner - 38</w:t>
            </w:r>
          </w:p>
        </w:tc>
      </w:tr>
      <w:tr>
        <w:trPr>
          <w:trHeight w:val="230"/>
        </w:trPr>
        <w:tc>
          <w:tcPr>
            <w:tcW w:w="2780" w:type="dxa"/>
            <w:vAlign w:val="bottom"/>
          </w:tcPr>
          <w:p>
            <w:pPr>
              <w:spacing w:after="0"/>
              <w:rPr>
                <w:sz w:val="20"/>
                <w:szCs w:val="20"/>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..Field Service.Safety Engineer - 30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..Human Resources.Coordinator - 29</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Finance &amp; Accounting</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Operations Controller - 61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Director..Finance Power Systems. - 44</w:t>
            </w: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.Manager.Revenue Administration. - 42</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.Senior..Accountant - 45, 47</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Administration</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w w:val="95"/>
              </w:rPr>
              <w:t>Executive VP..Operations &amp; Grid Segment. - 52*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Executive..Power Systems.Secretary - 42</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Senior..Programs.Manager - 51</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Projects</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...Project Manager - 46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...Project Manager - 34, 42</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..Project Planning and Control.Manager - 58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..Product Development.Project Management - 47, 50</w:t>
            </w: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..Product Development.Project Manager - 47, 55</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Senior.Manager.Project Implementation. - 36</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Manufacturing</w:t>
            </w: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..Inventory Control.Clerk - 59</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..Buyer/Planner. - 28</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.Lead.Manufacturing.Technician - 33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Managing Director..Power Systems Operations. - 61</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w w:val="91"/>
              </w:rPr>
              <w:t>..Manufacturing Electronics.Technician - 26, 31, 40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.Managing Director.Quality. - 43</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w w:val="96"/>
              </w:rPr>
              <w:t>..Manufacturing Electronics.TechnicianII - 34, 38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.Manager.Logistics &amp; Inventory. - 48</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..Production.Supervisor - 53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..Manufacturing Electronics.Technician - 51</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.Senior.Inventory.Coordinator - 35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..Manufacturing Electronics.Technician II - 42</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..Supplier Quality.Engineer - 32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.Principal.Design Assurance.Engineer - 34</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..Test.Technician - 24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.Principal.Test.Engineer - 54</w:t>
            </w:r>
          </w:p>
        </w:tc>
      </w:tr>
      <w:tr>
        <w:trPr>
          <w:trHeight w:val="216"/>
        </w:trPr>
        <w:tc>
          <w:tcPr>
            <w:tcW w:w="278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Arial" w:cs="Arial" w:eastAsia="Arial" w:hAnsi="Arial"/>
                <w:sz w:val="18"/>
                <w:szCs w:val="18"/>
                <w:color w:val="auto"/>
              </w:rPr>
              <w:t>..Test.Technician II - 46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..Purchasing.Manager - 49</w:t>
            </w:r>
          </w:p>
        </w:tc>
      </w:tr>
      <w:tr>
        <w:trPr>
          <w:trHeight w:val="230"/>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.Senior..Buyer - 33</w:t>
            </w:r>
          </w:p>
        </w:tc>
      </w:tr>
      <w:tr>
        <w:trPr>
          <w:trHeight w:val="405"/>
        </w:trPr>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ind w:left="2480"/>
              <w:spacing w:after="0"/>
              <w:rPr>
                <w:sz w:val="20"/>
                <w:szCs w:val="20"/>
                <w:color w:val="auto"/>
              </w:rPr>
            </w:pPr>
            <w:r>
              <w:rPr>
                <w:rFonts w:ascii="Arial" w:cs="Arial" w:eastAsia="Arial" w:hAnsi="Arial"/>
                <w:sz w:val="18"/>
                <w:szCs w:val="18"/>
                <w:color w:val="auto"/>
              </w:rPr>
              <w:t>Page 2</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6"/>
        </w:trPr>
        <w:tc>
          <w:tcPr>
            <w:tcW w:w="2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Wisconsin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Class/Unit/</w:t>
            </w:r>
          </w:p>
        </w:tc>
        <w:tc>
          <w:tcPr>
            <w:tcW w:w="220" w:type="dxa"/>
            <w:vAlign w:val="bottom"/>
          </w:tcPr>
          <w:p>
            <w:pPr>
              <w:spacing w:after="0"/>
              <w:rPr>
                <w:sz w:val="14"/>
                <w:szCs w:val="14"/>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Job Title and Ages</w:t>
            </w:r>
          </w:p>
        </w:tc>
        <w:tc>
          <w:tcPr>
            <w:tcW w:w="220" w:type="dxa"/>
            <w:vAlign w:val="bottom"/>
          </w:tcPr>
          <w:p>
            <w:pPr>
              <w:spacing w:after="0"/>
              <w:rPr>
                <w:sz w:val="14"/>
                <w:szCs w:val="14"/>
                <w:color w:val="auto"/>
              </w:rPr>
            </w:pPr>
          </w:p>
        </w:tc>
        <w:tc>
          <w:tcPr>
            <w:tcW w:w="4640" w:type="dxa"/>
            <w:vAlign w:val="bottom"/>
          </w:tcPr>
          <w:p>
            <w:pPr>
              <w:ind w:left="1700"/>
              <w:spacing w:after="0"/>
              <w:rPr>
                <w:sz w:val="20"/>
                <w:szCs w:val="20"/>
                <w:color w:val="auto"/>
              </w:rPr>
            </w:pPr>
            <w:r>
              <w:rPr>
                <w:rFonts w:ascii="Arial" w:cs="Arial" w:eastAsia="Arial" w:hAnsi="Arial"/>
                <w:sz w:val="14"/>
                <w:szCs w:val="14"/>
                <w:color w:val="auto"/>
              </w:rPr>
              <w:t>Job Title and Ages of</w:t>
            </w:r>
          </w:p>
        </w:tc>
      </w:tr>
      <w:tr>
        <w:trPr>
          <w:trHeight w:val="16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Department</w:t>
            </w:r>
          </w:p>
        </w:tc>
        <w:tc>
          <w:tcPr>
            <w:tcW w:w="22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of Employees Selected</w:t>
            </w:r>
          </w:p>
        </w:tc>
        <w:tc>
          <w:tcPr>
            <w:tcW w:w="220" w:type="dxa"/>
            <w:vAlign w:val="bottom"/>
          </w:tcPr>
          <w:p>
            <w:pPr>
              <w:spacing w:after="0"/>
              <w:rPr>
                <w:sz w:val="14"/>
                <w:szCs w:val="14"/>
                <w:color w:val="auto"/>
              </w:rPr>
            </w:pPr>
          </w:p>
        </w:tc>
        <w:tc>
          <w:tcPr>
            <w:tcW w:w="464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Employees Not Selected</w:t>
            </w:r>
          </w:p>
        </w:tc>
      </w:tr>
      <w:tr>
        <w:trPr>
          <w:trHeight w:val="195"/>
        </w:trPr>
        <w:tc>
          <w:tcPr>
            <w:tcW w:w="2880" w:type="dxa"/>
            <w:vAlign w:val="bottom"/>
          </w:tcPr>
          <w:p>
            <w:pPr>
              <w:spacing w:after="0" w:line="195" w:lineRule="exact"/>
              <w:rPr>
                <w:sz w:val="20"/>
                <w:szCs w:val="20"/>
                <w:color w:val="auto"/>
              </w:rPr>
            </w:pPr>
            <w:r>
              <w:rPr>
                <w:rFonts w:ascii="Arial" w:cs="Arial" w:eastAsia="Arial" w:hAnsi="Arial"/>
                <w:sz w:val="18"/>
                <w:szCs w:val="18"/>
                <w:color w:val="auto"/>
              </w:rPr>
              <w:t>Manufacturing (continued)</w:t>
            </w:r>
          </w:p>
        </w:tc>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.Senior Manager.Test.Engineering - 55</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Senior.Master..Scheduler - 34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.Senior.Industrial.Electrician - 41</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.Senior.Manufacturing Electronics.Technician - 50, 56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.Senior.Production.Supervisor - 39</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.Senior.Test.Technician - 40</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..Test.Technician II - 54</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Sales &amp; Marketing</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..Business.Assistant - 46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..Business Development Solar. - 33</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Director..Business Development Wind Power. - 49</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.Director.Global Sales Operation. - 56</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Director..Product Line Manager.FACTS - 34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Executive VP.Sales.Business Dev &amp; Wind Segment. - 44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..Inside Sales.Engineer - 25</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Director..Grid Sales. - 42</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Director..Product Line Manager.Cables - 50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Director..Product Marketing / PLM. - 50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Managing Director..Transmission &amp; Distribution. - 44</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.Principal.Transmission &amp; Distribution.Engineer - 35, 49</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..Regional.Sales Manager - 40</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.Senior.Consulting.Engineer - 54</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..Transmission &amp; Distribution.Engineer - 27</w:t>
            </w:r>
          </w:p>
        </w:tc>
      </w:tr>
      <w:tr>
        <w:trPr>
          <w:trHeight w:val="405"/>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ind w:left="2380"/>
              <w:spacing w:after="0"/>
              <w:rPr>
                <w:sz w:val="20"/>
                <w:szCs w:val="20"/>
                <w:color w:val="auto"/>
              </w:rPr>
            </w:pPr>
            <w:r>
              <w:rPr>
                <w:rFonts w:ascii="Arial" w:cs="Arial" w:eastAsia="Arial" w:hAnsi="Arial"/>
                <w:sz w:val="18"/>
                <w:szCs w:val="18"/>
                <w:color w:val="auto"/>
              </w:rPr>
              <w:t>Page 3</w:t>
            </w:r>
          </w:p>
        </w:tc>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26"/>
        </w:trPr>
        <w:tc>
          <w:tcPr>
            <w:tcW w:w="2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Wisconsin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Class/Unit/</w:t>
            </w:r>
          </w:p>
        </w:tc>
        <w:tc>
          <w:tcPr>
            <w:tcW w:w="2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color w:val="auto"/>
                <w:w w:val="93"/>
              </w:rPr>
              <w:t>Job Title and Ages</w:t>
            </w:r>
          </w:p>
        </w:tc>
        <w:tc>
          <w:tcPr>
            <w:tcW w:w="22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Arial" w:cs="Arial" w:eastAsia="Arial" w:hAnsi="Arial"/>
                <w:sz w:val="14"/>
                <w:szCs w:val="14"/>
                <w:color w:val="auto"/>
                <w:w w:val="94"/>
              </w:rPr>
              <w:t>Job Title and Ages of</w:t>
            </w:r>
          </w:p>
        </w:tc>
      </w:tr>
      <w:tr>
        <w:trPr>
          <w:trHeight w:val="16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Department</w:t>
            </w:r>
          </w:p>
        </w:tc>
        <w:tc>
          <w:tcPr>
            <w:tcW w:w="2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Employees Selected</w:t>
            </w:r>
          </w:p>
        </w:tc>
        <w:tc>
          <w:tcPr>
            <w:tcW w:w="220" w:type="dxa"/>
            <w:vAlign w:val="bottom"/>
          </w:tcPr>
          <w:p>
            <w:pPr>
              <w:spacing w:after="0"/>
              <w:rPr>
                <w:sz w:val="14"/>
                <w:szCs w:val="14"/>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Employees Not Selected</w:t>
            </w:r>
          </w:p>
        </w:tc>
      </w:tr>
      <w:tr>
        <w:trPr>
          <w:trHeight w:val="195"/>
        </w:trPr>
        <w:tc>
          <w:tcPr>
            <w:tcW w:w="2880" w:type="dxa"/>
            <w:vAlign w:val="bottom"/>
          </w:tcPr>
          <w:p>
            <w:pPr>
              <w:spacing w:after="0" w:line="195" w:lineRule="exact"/>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Director..Projects. - 67</w:t>
            </w:r>
          </w:p>
        </w:tc>
        <w:tc>
          <w:tcPr>
            <w:tcW w:w="2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..Electrical Service.Technician - 45</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..Field Service.Engineer - 37, 54, 55</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..Field Operations.Manager - 54</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..Field Service.Supervisor - 50</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..Field Service.Dispatcher - 52</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..Logistics.Manager - 45</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..Field Service.Engineer - 24, 25, 41</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..Mechanical.Engineer - 32</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..Field Service.Supervisor - 56</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..Planning &amp; Programs.Manager - 53</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..Inventory.Coordinator - 54</w:t>
            </w:r>
          </w:p>
        </w:tc>
      </w:tr>
      <w:tr>
        <w:trPr>
          <w:trHeight w:val="216"/>
        </w:trPr>
        <w:tc>
          <w:tcPr>
            <w:tcW w:w="288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w w:val="90"/>
              </w:rPr>
              <w:t>.Senior.Field Service.Representative - 23, 32, 35</w:t>
            </w: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.Senior.Field Service.Engineer - 44</w:t>
            </w:r>
          </w:p>
        </w:tc>
      </w:tr>
      <w:tr>
        <w:trPr>
          <w:trHeight w:val="230"/>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.Senior.Field Service.Representative - 21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individual is subject to executive severance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jc w:val="right"/>
        <w:ind w:right="3779"/>
        <w:spacing w:after="0"/>
        <w:rPr>
          <w:sz w:val="20"/>
          <w:szCs w:val="20"/>
          <w:color w:val="auto"/>
        </w:rPr>
      </w:pPr>
      <w:r>
        <w:rPr>
          <w:rFonts w:ascii="Arial" w:cs="Arial" w:eastAsia="Arial" w:hAnsi="Arial"/>
          <w:sz w:val="18"/>
          <w:szCs w:val="18"/>
          <w:b w:val="1"/>
          <w:bCs w:val="1"/>
          <w:u w:val="single" w:color="auto"/>
          <w:color w:val="auto"/>
        </w:rPr>
        <w:t>ATTACHMENT 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959"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August 9, 2011, the Compensation Committee of the Board of Directors (the “</w:t>
      </w:r>
      <w:r>
        <w:rPr>
          <w:rFonts w:ascii="Arial" w:cs="Arial" w:eastAsia="Arial" w:hAnsi="Arial"/>
          <w:sz w:val="18"/>
          <w:szCs w:val="18"/>
          <w:u w:val="single" w:color="auto"/>
          <w:color w:val="auto"/>
        </w:rPr>
        <w:t>Committee</w:t>
      </w:r>
      <w:r>
        <w:rPr>
          <w:rFonts w:ascii="Arial" w:cs="Arial" w:eastAsia="Arial" w:hAnsi="Arial"/>
          <w:sz w:val="18"/>
          <w:szCs w:val="18"/>
          <w:color w:val="auto"/>
        </w:rPr>
        <w:t>”) of American Superconductor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on August 10, 2011, the Board of Directors of the Company, approved an executive incentive plan for the Company’s fiscal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2012 (“</w:t>
      </w:r>
      <w:r>
        <w:rPr>
          <w:rFonts w:ascii="Arial" w:cs="Arial" w:eastAsia="Arial" w:hAnsi="Arial"/>
          <w:sz w:val="16"/>
          <w:szCs w:val="16"/>
          <w:u w:val="single" w:color="auto"/>
          <w:color w:val="auto"/>
        </w:rPr>
        <w:t>fiscal 2011</w:t>
      </w:r>
      <w:r>
        <w:rPr>
          <w:rFonts w:ascii="Arial" w:cs="Arial" w:eastAsia="Arial" w:hAnsi="Arial"/>
          <w:sz w:val="16"/>
          <w:szCs w:val="16"/>
          <w:color w:val="auto"/>
        </w:rPr>
        <w:t>”). Participants in the plan include the Company’s Chief Executive Officer and all remaining executive officers. The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responsible for determining the payout under the plan to each executive officer except the Chief Executive Officer.</w:t>
      </w:r>
    </w:p>
    <w:p>
      <w:pPr>
        <w:spacing w:after="0" w:line="10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Board of Directors of the Company determines the payout under the plan for the Chief Executive Officer, taking into account the recommendation received from the Committee.</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Pursuant to the plan, the Committee designated for each executive officer a target cash incentive amount, expressed as a percentage of the officer’s base salary. In establishing these targets, the Committee took into account for each officer the level of total compensation including base salary, cash incentive and equity paid by similar companies for comparable positions based on market data compiled by the Committee’s outside compensation consultant Pearl Meyer &amp; Partners.</w:t>
      </w:r>
    </w:p>
    <w:p>
      <w:pPr>
        <w:spacing w:after="0" w:line="79"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amount of the incentive award actually paid to each executive officer may be less than or greater than the executive’s target cash incentive, with the amount capped at 156% of the target incentive. For each executive officer, individual incentive awards will be determined following the end of fiscal 2011 based on the following factors and their corresponding weightings:</w:t>
      </w:r>
    </w:p>
    <w:p>
      <w:pPr>
        <w:spacing w:after="0" w:line="73" w:lineRule="exact"/>
        <w:rPr>
          <w:sz w:val="20"/>
          <w:szCs w:val="20"/>
          <w:color w:val="auto"/>
        </w:rPr>
      </w:pPr>
    </w:p>
    <w:p>
      <w:pPr>
        <w:jc w:val="both"/>
        <w:ind w:left="660" w:right="200" w:hanging="314"/>
        <w:spacing w:after="0" w:line="264"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Company’s net income (loss) before amortization of acquisition-related intangibles, restructuring and impairments, stock-based compensation expense, other unusual charges and any tax effects related to these items for fiscal 2011 as compared to the target established by the Committee — 40%</w:t>
      </w:r>
    </w:p>
    <w:p>
      <w:pPr>
        <w:spacing w:after="0" w:line="86" w:lineRule="exact"/>
        <w:rPr>
          <w:rFonts w:ascii="Arial" w:cs="Arial" w:eastAsia="Arial" w:hAnsi="Arial"/>
          <w:sz w:val="18"/>
          <w:szCs w:val="18"/>
          <w:b w:val="1"/>
          <w:bCs w:val="1"/>
          <w:color w:val="auto"/>
        </w:rPr>
      </w:pPr>
    </w:p>
    <w:p>
      <w:pPr>
        <w:ind w:left="660" w:right="42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executive’s achievement of individual, measurable objectives during fiscal 2011 as determined by the Committee for all executives with the exception of the Chief Executive Officer, who is evaluated by the Board of Directors — 40%</w:t>
      </w:r>
    </w:p>
    <w:p>
      <w:pPr>
        <w:spacing w:after="0" w:line="75" w:lineRule="exact"/>
        <w:rPr>
          <w:rFonts w:ascii="Arial" w:cs="Arial" w:eastAsia="Arial" w:hAnsi="Arial"/>
          <w:sz w:val="18"/>
          <w:szCs w:val="18"/>
          <w:b w:val="1"/>
          <w:bCs w:val="1"/>
          <w:color w:val="auto"/>
        </w:rPr>
      </w:pPr>
    </w:p>
    <w:p>
      <w:pPr>
        <w:ind w:left="660" w:right="10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executive’s overall contribution during fiscal 2011 towards the achievement of the Company’s financial and non-financial objectives (subjective performance measure) — 20%</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each current executive officer’s target cash incentive for fiscal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Executive Officer</w:t>
            </w:r>
          </w:p>
        </w:tc>
        <w:tc>
          <w:tcPr>
            <w:tcW w:w="220" w:type="dxa"/>
            <w:vAlign w:val="bottom"/>
          </w:tcPr>
          <w:p>
            <w:pPr>
              <w:spacing w:after="0"/>
              <w:rPr>
                <w:sz w:val="14"/>
                <w:szCs w:val="14"/>
                <w:color w:val="auto"/>
              </w:rPr>
            </w:pPr>
          </w:p>
        </w:tc>
        <w:tc>
          <w:tcPr>
            <w:tcW w:w="614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Target Incentive as % of</w:t>
            </w:r>
          </w:p>
        </w:tc>
        <w:tc>
          <w:tcPr>
            <w:tcW w:w="2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Incentive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Base Salary</w:t>
            </w:r>
          </w:p>
        </w:tc>
        <w:tc>
          <w:tcPr>
            <w:tcW w:w="2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Daniel P. McGahn</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12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David A. Henry</w:t>
            </w:r>
          </w:p>
        </w:tc>
        <w:tc>
          <w:tcPr>
            <w:tcW w:w="2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Senior Vice President, Chief Financial Officer, Treasurer and Secretary</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50%</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Timothy D. Poor</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Sales, Business Development and Wind Segment</w:t>
            </w:r>
          </w:p>
        </w:tc>
        <w:tc>
          <w:tcPr>
            <w:tcW w:w="1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75%</w:t>
            </w:r>
          </w:p>
        </w:tc>
        <w:tc>
          <w:tcPr>
            <w:tcW w:w="12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Susan J. DiCecco</w:t>
            </w:r>
          </w:p>
        </w:tc>
        <w:tc>
          <w:tcPr>
            <w:tcW w:w="2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Senior Vice President, Corporate Administration</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50%</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$121,000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11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 November 9, 2011</w:t>
            </w:r>
          </w:p>
        </w:tc>
        <w:tc>
          <w:tcPr>
            <w:tcW w:w="6160" w:type="dxa"/>
            <w:vAlign w:val="bottom"/>
            <w:gridSpan w:val="2"/>
          </w:tcPr>
          <w:p>
            <w:pPr>
              <w:jc w:val="right"/>
              <w:ind w:right="231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b w:val="1"/>
                <w:bCs w:val="1"/>
                <w:color w:val="auto"/>
              </w:rPr>
              <w:t>D</w:t>
            </w:r>
            <w:r>
              <w:rPr>
                <w:rFonts w:ascii="Arial" w:cs="Arial" w:eastAsia="Arial" w:hAnsi="Arial"/>
                <w:sz w:val="12"/>
                <w:szCs w:val="12"/>
                <w:b w:val="1"/>
                <w:bCs w:val="1"/>
                <w:color w:val="auto"/>
              </w:rPr>
              <w:t>ANIEL</w:t>
            </w:r>
            <w:r>
              <w:rPr>
                <w:rFonts w:ascii="Arial" w:cs="Arial" w:eastAsia="Arial" w:hAnsi="Arial"/>
                <w:sz w:val="18"/>
                <w:szCs w:val="18"/>
                <w:color w:val="auto"/>
              </w:rPr>
              <w:t xml:space="preserve"> </w:t>
            </w:r>
            <w:r>
              <w:rPr>
                <w:rFonts w:ascii="Arial" w:cs="Arial" w:eastAsia="Arial" w:hAnsi="Arial"/>
                <w:sz w:val="18"/>
                <w:szCs w:val="18"/>
                <w:b w:val="1"/>
                <w:bCs w:val="1"/>
                <w:color w:val="auto"/>
              </w:rPr>
              <w:t>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P. McGahn</w:t>
            </w: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92"/>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 November 9, 2011</w:t>
            </w:r>
          </w:p>
        </w:tc>
        <w:tc>
          <w:tcPr>
            <w:tcW w:w="6160" w:type="dxa"/>
            <w:vAlign w:val="bottom"/>
            <w:gridSpan w:val="2"/>
          </w:tcPr>
          <w:p>
            <w:pPr>
              <w:jc w:val="right"/>
              <w:ind w:right="255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b w:val="1"/>
                <w:bCs w:val="1"/>
                <w:color w:val="auto"/>
              </w:rPr>
              <w:t>D</w:t>
            </w:r>
            <w:r>
              <w:rPr>
                <w:rFonts w:ascii="Arial" w:cs="Arial" w:eastAsia="Arial" w:hAnsi="Arial"/>
                <w:sz w:val="12"/>
                <w:szCs w:val="12"/>
                <w:b w:val="1"/>
                <w:bCs w:val="1"/>
                <w:color w:val="auto"/>
              </w:rPr>
              <w:t>AVID</w:t>
            </w:r>
            <w:r>
              <w:rPr>
                <w:rFonts w:ascii="Arial" w:cs="Arial" w:eastAsia="Arial" w:hAnsi="Arial"/>
                <w:sz w:val="18"/>
                <w:szCs w:val="18"/>
                <w:color w:val="auto"/>
              </w:rPr>
              <w:t xml:space="preserve"> </w:t>
            </w:r>
            <w:r>
              <w:rPr>
                <w:rFonts w:ascii="Arial" w:cs="Arial" w:eastAsia="Arial" w:hAnsi="Arial"/>
                <w:sz w:val="18"/>
                <w:szCs w:val="18"/>
                <w:b w:val="1"/>
                <w:bCs w:val="1"/>
                <w:color w:val="auto"/>
              </w:rPr>
              <w:t>A. H</w:t>
            </w:r>
            <w:r>
              <w:rPr>
                <w:rFonts w:ascii="Arial" w:cs="Arial" w:eastAsia="Arial" w:hAnsi="Arial"/>
                <w:sz w:val="12"/>
                <w:szCs w:val="12"/>
                <w:b w:val="1"/>
                <w:bCs w:val="1"/>
                <w:color w:val="auto"/>
              </w:rPr>
              <w:t>ENRY</w:t>
            </w: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Henry</w:t>
            </w: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553"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2011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 November 9, 2011</w:t>
            </w:r>
          </w:p>
        </w:tc>
        <w:tc>
          <w:tcPr>
            <w:tcW w:w="6160" w:type="dxa"/>
            <w:vAlign w:val="bottom"/>
            <w:gridSpan w:val="2"/>
          </w:tcPr>
          <w:p>
            <w:pPr>
              <w:jc w:val="right"/>
              <w:ind w:right="231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b w:val="1"/>
                <w:bCs w:val="1"/>
                <w:color w:val="auto"/>
              </w:rPr>
              <w:t>D</w:t>
            </w:r>
            <w:r>
              <w:rPr>
                <w:rFonts w:ascii="Arial" w:cs="Arial" w:eastAsia="Arial" w:hAnsi="Arial"/>
                <w:sz w:val="12"/>
                <w:szCs w:val="12"/>
                <w:b w:val="1"/>
                <w:bCs w:val="1"/>
                <w:color w:val="auto"/>
              </w:rPr>
              <w:t>ANIEL</w:t>
            </w:r>
            <w:r>
              <w:rPr>
                <w:rFonts w:ascii="Arial" w:cs="Arial" w:eastAsia="Arial" w:hAnsi="Arial"/>
                <w:sz w:val="18"/>
                <w:szCs w:val="18"/>
                <w:color w:val="auto"/>
              </w:rPr>
              <w:t xml:space="preserve"> </w:t>
            </w:r>
            <w:r>
              <w:rPr>
                <w:rFonts w:ascii="Arial" w:cs="Arial" w:eastAsia="Arial" w:hAnsi="Arial"/>
                <w:sz w:val="18"/>
                <w:szCs w:val="18"/>
                <w:b w:val="1"/>
                <w:bCs w:val="1"/>
                <w:color w:val="auto"/>
              </w:rPr>
              <w:t>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P. McGahn</w:t>
            </w: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92"/>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553"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2011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 November 9, 2011</w:t>
            </w:r>
          </w:p>
        </w:tc>
        <w:tc>
          <w:tcPr>
            <w:tcW w:w="6160" w:type="dxa"/>
            <w:vAlign w:val="bottom"/>
            <w:gridSpan w:val="2"/>
          </w:tcPr>
          <w:p>
            <w:pPr>
              <w:jc w:val="right"/>
              <w:ind w:right="255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b w:val="1"/>
                <w:bCs w:val="1"/>
                <w:color w:val="auto"/>
              </w:rPr>
              <w:t>D</w:t>
            </w:r>
            <w:r>
              <w:rPr>
                <w:rFonts w:ascii="Arial" w:cs="Arial" w:eastAsia="Arial" w:hAnsi="Arial"/>
                <w:sz w:val="12"/>
                <w:szCs w:val="12"/>
                <w:b w:val="1"/>
                <w:bCs w:val="1"/>
                <w:color w:val="auto"/>
              </w:rPr>
              <w:t>AVID</w:t>
            </w:r>
            <w:r>
              <w:rPr>
                <w:rFonts w:ascii="Arial" w:cs="Arial" w:eastAsia="Arial" w:hAnsi="Arial"/>
                <w:sz w:val="18"/>
                <w:szCs w:val="18"/>
                <w:color w:val="auto"/>
              </w:rPr>
              <w:t xml:space="preserve"> </w:t>
            </w:r>
            <w:r>
              <w:rPr>
                <w:rFonts w:ascii="Arial" w:cs="Arial" w:eastAsia="Arial" w:hAnsi="Arial"/>
                <w:sz w:val="18"/>
                <w:szCs w:val="18"/>
                <w:b w:val="1"/>
                <w:bCs w:val="1"/>
                <w:color w:val="auto"/>
              </w:rPr>
              <w:t>A. H</w:t>
            </w:r>
            <w:r>
              <w:rPr>
                <w:rFonts w:ascii="Arial" w:cs="Arial" w:eastAsia="Arial" w:hAnsi="Arial"/>
                <w:sz w:val="12"/>
                <w:szCs w:val="12"/>
                <w:b w:val="1"/>
                <w:bCs w:val="1"/>
                <w:color w:val="auto"/>
              </w:rPr>
              <w:t>ENRY</w:t>
            </w: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Henry</w:t>
            </w: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8"/>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43</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lvl w:ilvl="1">
      <w:lvlJc w:val="left"/>
      <w:lvlText w:val="%2."/>
      <w:numFmt w:val="lowerLetter"/>
      <w:start w:val="1"/>
    </w:lvl>
  </w:abstractNum>
  <w:abstractNum w:abstractNumId="11">
    <w:nsid w:val="79838CB2"/>
    <w:multiLevelType w:val="hybridMultilevel"/>
    <w:lvl w:ilvl="0">
      <w:lvlJc w:val="left"/>
      <w:lvlText w:val="%1."/>
      <w:numFmt w:val="decimal"/>
      <w:start w:val="2"/>
    </w:lvl>
    <w:lvl w:ilvl="1">
      <w:lvlJc w:val="left"/>
      <w:lvlText w:val="-"/>
      <w:numFmt w:val="bullet"/>
      <w:start w:val="1"/>
    </w:lvl>
  </w:abstractNum>
  <w:abstractNum w:abstractNumId="12">
    <w:nsid w:val="4353D0CD"/>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3">
    <w:nsid w:val="B03E0C6"/>
    <w:multiLevelType w:val="hybridMultilevel"/>
    <w:lvl w:ilvl="0">
      <w:lvlJc w:val="left"/>
      <w:lvlText w:val="%1."/>
      <w:numFmt w:val="decimal"/>
      <w:start w:val="4"/>
    </w:lvl>
    <w:lvl w:ilvl="1">
      <w:lvlJc w:val="left"/>
      <w:lvlText w:val="-"/>
      <w:numFmt w:val="bullet"/>
      <w:start w:val="1"/>
    </w:lvl>
  </w:abstractNum>
  <w:abstractNum w:abstractNumId="14">
    <w:nsid w:val="189A769B"/>
    <w:multiLevelType w:val="hybridMultilevel"/>
    <w:lvl w:ilvl="0">
      <w:lvlJc w:val="left"/>
      <w:lvlText w:val="%1."/>
      <w:numFmt w:val="decimal"/>
      <w:start w:val="7"/>
    </w:lvl>
    <w:lvl w:ilvl="1">
      <w:lvlJc w:val="left"/>
      <w:lvlText w:val="-"/>
      <w:numFmt w:val="bullet"/>
      <w:start w:val="1"/>
    </w:lvl>
  </w:abstractNum>
  <w:abstractNum w:abstractNumId="15">
    <w:nsid w:val="54E49EB4"/>
    <w:multiLevelType w:val="hybridMultilevel"/>
    <w:lvl w:ilvl="0">
      <w:lvlJc w:val="left"/>
      <w:lvlText w:val="%1."/>
      <w:numFmt w:val="decimal"/>
      <w:start w:val="13"/>
    </w:lvl>
    <w:lvl w:ilvl="1">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
    <w:nsid w:val="836C40E"/>
    <w:multiLevelType w:val="hybridMultilevel"/>
    <w:lvl w:ilvl="0">
      <w:lvlJc w:val="left"/>
      <w:lvlText w:val="%1."/>
      <w:numFmt w:val="decimal"/>
      <w:start w:val="2"/>
    </w:lvl>
    <w:lvl w:ilvl="1">
      <w:lvlJc w:val="left"/>
      <w:lvlText w:val="-"/>
      <w:numFmt w:val="bullet"/>
      <w:start w:val="1"/>
    </w:lvl>
  </w:abstractNum>
  <w:abstractNum w:abstractNumId="19">
    <w:nsid w:val="2901D82"/>
    <w:multiLevelType w:val="hybridMultilevel"/>
    <w:lvl w:ilvl="0">
      <w:lvlJc w:val="left"/>
      <w:lvlText w:val="%1."/>
      <w:numFmt w:val="decimal"/>
      <w:start w:val="1"/>
    </w:lvl>
    <w:lvl w:ilvl="1">
      <w:lvlJc w:val="left"/>
      <w:lvlText w:val="(%2)"/>
      <w:numFmt w:val="lowerLetter"/>
      <w:start w:val="1"/>
    </w:lvl>
  </w:abstractNum>
  <w:abstractNum w:abstractNumId="20">
    <w:nsid w:val="3A95F874"/>
    <w:multiLevelType w:val="hybridMultilevel"/>
    <w:lvl w:ilvl="0">
      <w:lvlJc w:val="left"/>
      <w:lvlText w:val="(%1)"/>
      <w:numFmt w:val="lowerLetter"/>
      <w:start w:val="2"/>
    </w:lvl>
    <w:lvl w:ilvl="1">
      <w:lvlJc w:val="left"/>
      <w:lvlText w:val="-"/>
      <w:numFmt w:val="bullet"/>
      <w:start w:val="1"/>
    </w:lvl>
  </w:abstractNum>
  <w:abstractNum w:abstractNumId="21">
    <w:nsid w:val="8138641"/>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22">
    <w:nsid w:val="1E7FF52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3">
    <w:nsid w:val="7C3DBD3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4">
    <w:nsid w:val="737B8DD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5">
    <w:nsid w:val="6CEAF087"/>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6">
    <w:nsid w:val="22221A70"/>
    <w:multiLevelType w:val="hybridMultilevel"/>
    <w:lvl w:ilvl="0">
      <w:lvlJc w:val="left"/>
      <w:lvlText w:val="(%1)"/>
      <w:numFmt w:val="lowerLetter"/>
      <w:start w:val="3"/>
    </w:lvl>
    <w:lvl w:ilvl="1">
      <w:lvlJc w:val="left"/>
      <w:lvlText w:val="-"/>
      <w:numFmt w:val="bullet"/>
      <w:start w:val="1"/>
    </w:lvl>
  </w:abstractNum>
  <w:abstractNum w:abstractNumId="27">
    <w:nsid w:val="4516DDE9"/>
    <w:multiLevelType w:val="hybridMultilevel"/>
    <w:lvl w:ilvl="0">
      <w:lvlJc w:val="left"/>
      <w:lvlText w:val="%1."/>
      <w:numFmt w:val="decimal"/>
      <w:start w:val="7"/>
    </w:lvl>
    <w:lvl w:ilvl="1">
      <w:lvlJc w:val="left"/>
      <w:lvlText w:val="-"/>
      <w:numFmt w:val="bullet"/>
      <w:start w:val="1"/>
    </w:lvl>
  </w:abstractNum>
  <w:abstractNum w:abstractNumId="28">
    <w:nsid w:val="3006C83E"/>
    <w:multiLevelType w:val="hybridMultilevel"/>
    <w:lvl w:ilvl="0">
      <w:lvlJc w:val="left"/>
      <w:lvlText w:val="%1."/>
      <w:numFmt w:val="decimal"/>
      <w:start w:val="14"/>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lvl w:ilvl="1">
      <w:lvlJc w:val="left"/>
      <w:lvlText w:val="(%2)"/>
      <w:numFmt w:val="lowerRoman"/>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2019-12-10T10:07:38Z</dcterms:created>
  <dcterms:modified xsi:type="dcterms:W3CDTF">2019-12-10T10:07:38Z</dcterms:modified>
</cp:coreProperties>
</file>