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99060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127000</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March 31, 2012</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780" w:space="720"/>
            <w:col w:w="786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131445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39"/>
          <w:szCs w:val="39"/>
          <w:b w:val="1"/>
          <w:bCs w:val="1"/>
          <w:color w:val="auto"/>
        </w:rPr>
        <w:t>American Superconductor Corporation</w:t>
      </w:r>
    </w:p>
    <w:p>
      <w:pPr>
        <w:spacing w:after="0" w:line="95"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94615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6"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4220" w:type="dxa"/>
            <w:vAlign w:val="bottom"/>
          </w:tcPr>
          <w:p>
            <w:pPr>
              <w:jc w:val="center"/>
              <w:ind w:right="1962"/>
              <w:spacing w:after="0"/>
              <w:rPr>
                <w:sz w:val="20"/>
                <w:szCs w:val="20"/>
                <w:color w:val="auto"/>
              </w:rPr>
            </w:pPr>
            <w:r>
              <w:rPr>
                <w:rFonts w:ascii="Arial" w:cs="Arial" w:eastAsia="Arial" w:hAnsi="Arial"/>
                <w:sz w:val="18"/>
                <w:szCs w:val="18"/>
                <w:b w:val="1"/>
                <w:bCs w:val="1"/>
                <w:color w:val="auto"/>
                <w:w w:val="88"/>
              </w:rPr>
              <w:t>Delaware</w:t>
            </w:r>
          </w:p>
        </w:tc>
        <w:tc>
          <w:tcPr>
            <w:tcW w:w="3300" w:type="dxa"/>
            <w:vAlign w:val="bottom"/>
          </w:tcPr>
          <w:p>
            <w:pPr>
              <w:jc w:val="right"/>
              <w:ind w:right="124"/>
              <w:spacing w:after="0"/>
              <w:rPr>
                <w:sz w:val="20"/>
                <w:szCs w:val="20"/>
                <w:color w:val="auto"/>
              </w:rPr>
            </w:pPr>
            <w:r>
              <w:rPr>
                <w:rFonts w:ascii="Arial" w:cs="Arial" w:eastAsia="Arial" w:hAnsi="Arial"/>
                <w:sz w:val="18"/>
                <w:szCs w:val="18"/>
                <w:b w:val="1"/>
                <w:bCs w:val="1"/>
                <w:color w:val="auto"/>
              </w:rPr>
              <w:t>04-2959321</w:t>
            </w:r>
          </w:p>
        </w:tc>
      </w:tr>
      <w:tr>
        <w:trPr>
          <w:trHeight w:val="149"/>
        </w:trPr>
        <w:tc>
          <w:tcPr>
            <w:tcW w:w="4220" w:type="dxa"/>
            <w:vAlign w:val="bottom"/>
          </w:tcPr>
          <w:p>
            <w:pPr>
              <w:jc w:val="center"/>
              <w:ind w:right="1962"/>
              <w:spacing w:after="0" w:line="149" w:lineRule="exact"/>
              <w:rPr>
                <w:sz w:val="20"/>
                <w:szCs w:val="20"/>
                <w:color w:val="auto"/>
              </w:rPr>
            </w:pPr>
            <w:r>
              <w:rPr>
                <w:rFonts w:ascii="Arial" w:cs="Arial" w:eastAsia="Arial" w:hAnsi="Arial"/>
                <w:sz w:val="14"/>
                <w:szCs w:val="14"/>
                <w:i w:val="1"/>
                <w:iCs w:val="1"/>
                <w:color w:val="auto"/>
                <w:w w:val="90"/>
              </w:rPr>
              <w:t>(State or Other Jurisdiction</w:t>
            </w:r>
          </w:p>
        </w:tc>
        <w:tc>
          <w:tcPr>
            <w:tcW w:w="3300" w:type="dxa"/>
            <w:vAlign w:val="bottom"/>
          </w:tcPr>
          <w:p>
            <w:pPr>
              <w:jc w:val="center"/>
              <w:ind w:left="1984"/>
              <w:spacing w:after="0" w:line="149" w:lineRule="exact"/>
              <w:rPr>
                <w:sz w:val="20"/>
                <w:szCs w:val="20"/>
                <w:color w:val="auto"/>
              </w:rPr>
            </w:pPr>
            <w:r>
              <w:rPr>
                <w:rFonts w:ascii="Arial" w:cs="Arial" w:eastAsia="Arial" w:hAnsi="Arial"/>
                <w:sz w:val="14"/>
                <w:szCs w:val="14"/>
                <w:i w:val="1"/>
                <w:iCs w:val="1"/>
                <w:color w:val="auto"/>
                <w:w w:val="87"/>
              </w:rPr>
              <w:t>(IRS Employer</w:t>
            </w:r>
          </w:p>
        </w:tc>
      </w:tr>
      <w:tr>
        <w:trPr>
          <w:trHeight w:val="158"/>
        </w:trPr>
        <w:tc>
          <w:tcPr>
            <w:tcW w:w="4220" w:type="dxa"/>
            <w:vAlign w:val="bottom"/>
          </w:tcPr>
          <w:p>
            <w:pPr>
              <w:jc w:val="center"/>
              <w:ind w:right="1982"/>
              <w:spacing w:after="0" w:line="159" w:lineRule="exact"/>
              <w:rPr>
                <w:sz w:val="20"/>
                <w:szCs w:val="20"/>
                <w:color w:val="auto"/>
              </w:rPr>
            </w:pPr>
            <w:r>
              <w:rPr>
                <w:rFonts w:ascii="Arial" w:cs="Arial" w:eastAsia="Arial" w:hAnsi="Arial"/>
                <w:sz w:val="14"/>
                <w:szCs w:val="14"/>
                <w:i w:val="1"/>
                <w:iCs w:val="1"/>
                <w:color w:val="auto"/>
                <w:w w:val="91"/>
              </w:rPr>
              <w:t>of Incorporation or Organization)</w:t>
            </w:r>
          </w:p>
        </w:tc>
        <w:tc>
          <w:tcPr>
            <w:tcW w:w="3300" w:type="dxa"/>
            <w:vAlign w:val="bottom"/>
          </w:tcPr>
          <w:p>
            <w:pPr>
              <w:jc w:val="center"/>
              <w:ind w:left="1984"/>
              <w:spacing w:after="0" w:line="159" w:lineRule="exact"/>
              <w:rPr>
                <w:sz w:val="20"/>
                <w:szCs w:val="20"/>
                <w:color w:val="auto"/>
              </w:rPr>
            </w:pPr>
            <w:r>
              <w:rPr>
                <w:rFonts w:ascii="Arial" w:cs="Arial" w:eastAsia="Arial" w:hAnsi="Arial"/>
                <w:sz w:val="14"/>
                <w:szCs w:val="14"/>
                <w:i w:val="1"/>
                <w:iCs w:val="1"/>
                <w:color w:val="auto"/>
                <w:w w:val="90"/>
              </w:rPr>
              <w:t>Identification Number)</w:t>
            </w:r>
          </w:p>
        </w:tc>
      </w:tr>
      <w:tr>
        <w:trPr>
          <w:trHeight w:val="216"/>
        </w:trPr>
        <w:tc>
          <w:tcPr>
            <w:tcW w:w="4220" w:type="dxa"/>
            <w:vAlign w:val="bottom"/>
          </w:tcPr>
          <w:p>
            <w:pPr>
              <w:jc w:val="center"/>
              <w:ind w:right="1962"/>
              <w:spacing w:after="0"/>
              <w:rPr>
                <w:sz w:val="20"/>
                <w:szCs w:val="20"/>
                <w:color w:val="auto"/>
              </w:rPr>
            </w:pPr>
            <w:r>
              <w:rPr>
                <w:rFonts w:ascii="Arial" w:cs="Arial" w:eastAsia="Arial" w:hAnsi="Arial"/>
                <w:sz w:val="18"/>
                <w:szCs w:val="18"/>
                <w:b w:val="1"/>
                <w:bCs w:val="1"/>
                <w:color w:val="auto"/>
                <w:w w:val="85"/>
              </w:rPr>
              <w:t>64 Jackson Road</w:t>
            </w:r>
          </w:p>
        </w:tc>
        <w:tc>
          <w:tcPr>
            <w:tcW w:w="3300" w:type="dxa"/>
            <w:vAlign w:val="bottom"/>
          </w:tcPr>
          <w:p>
            <w:pPr>
              <w:jc w:val="right"/>
              <w:ind w:right="324"/>
              <w:spacing w:after="0"/>
              <w:rPr>
                <w:sz w:val="20"/>
                <w:szCs w:val="20"/>
                <w:color w:val="auto"/>
              </w:rPr>
            </w:pPr>
            <w:r>
              <w:rPr>
                <w:rFonts w:ascii="Arial" w:cs="Arial" w:eastAsia="Arial" w:hAnsi="Arial"/>
                <w:sz w:val="18"/>
                <w:szCs w:val="18"/>
                <w:b w:val="1"/>
                <w:bCs w:val="1"/>
                <w:color w:val="auto"/>
              </w:rPr>
              <w:t>01434</w:t>
            </w:r>
          </w:p>
        </w:tc>
      </w:tr>
      <w:tr>
        <w:trPr>
          <w:trHeight w:val="220"/>
        </w:trPr>
        <w:tc>
          <w:tcPr>
            <w:tcW w:w="4220" w:type="dxa"/>
            <w:vAlign w:val="bottom"/>
          </w:tcPr>
          <w:p>
            <w:pPr>
              <w:jc w:val="center"/>
              <w:ind w:right="1962"/>
              <w:spacing w:after="0"/>
              <w:rPr>
                <w:sz w:val="20"/>
                <w:szCs w:val="20"/>
                <w:color w:val="auto"/>
              </w:rPr>
            </w:pPr>
            <w:r>
              <w:rPr>
                <w:rFonts w:ascii="Arial" w:cs="Arial" w:eastAsia="Arial" w:hAnsi="Arial"/>
                <w:sz w:val="18"/>
                <w:szCs w:val="18"/>
                <w:b w:val="1"/>
                <w:bCs w:val="1"/>
                <w:color w:val="auto"/>
                <w:w w:val="83"/>
              </w:rPr>
              <w:t>Devens, Massachusetts</w:t>
            </w:r>
          </w:p>
        </w:tc>
        <w:tc>
          <w:tcPr>
            <w:tcW w:w="3300" w:type="dxa"/>
            <w:vAlign w:val="bottom"/>
          </w:tcPr>
          <w:p>
            <w:pPr>
              <w:jc w:val="center"/>
              <w:ind w:left="2004"/>
              <w:spacing w:after="0"/>
              <w:rPr>
                <w:sz w:val="20"/>
                <w:szCs w:val="20"/>
                <w:color w:val="auto"/>
              </w:rPr>
            </w:pPr>
            <w:r>
              <w:rPr>
                <w:rFonts w:ascii="Arial" w:cs="Arial" w:eastAsia="Arial" w:hAnsi="Arial"/>
                <w:sz w:val="14"/>
                <w:szCs w:val="14"/>
                <w:i w:val="1"/>
                <w:iCs w:val="1"/>
                <w:color w:val="auto"/>
                <w:w w:val="87"/>
              </w:rPr>
              <w:t>(Zip Code)</w:t>
            </w:r>
          </w:p>
        </w:tc>
      </w:tr>
      <w:tr>
        <w:trPr>
          <w:trHeight w:val="172"/>
        </w:trPr>
        <w:tc>
          <w:tcPr>
            <w:tcW w:w="4220" w:type="dxa"/>
            <w:vAlign w:val="bottom"/>
          </w:tcPr>
          <w:p>
            <w:pPr>
              <w:jc w:val="center"/>
              <w:ind w:right="1962"/>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3300" w:type="dxa"/>
            <w:vAlign w:val="bottom"/>
          </w:tcPr>
          <w:p>
            <w:pPr>
              <w:spacing w:after="0"/>
              <w:rPr>
                <w:sz w:val="14"/>
                <w:szCs w:val="14"/>
                <w:color w:val="auto"/>
              </w:rPr>
            </w:pPr>
          </w:p>
        </w:tc>
      </w:tr>
    </w:tbl>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(978) 842-3000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$0.01 par value, NASDAQ Global Select Market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109855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59"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540" w:space="180"/>
            <w:col w:w="260" w:space="80"/>
            <w:col w:w="160" w:space="180"/>
            <w:col w:w="220" w:space="80"/>
            <w:col w:w="1660"/>
          </w:cols>
          <w:pgMar w:left="240" w:top="230" w:right="29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700" w:space="180"/>
            <w:col w:w="260" w:space="80"/>
            <w:col w:w="160" w:space="180"/>
            <w:col w:w="220" w:space="80"/>
            <w:col w:w="1500"/>
          </w:cols>
          <w:pgMar w:left="240" w:top="230" w:right="299" w:bottom="1440" w:gutter="0" w:footer="0" w:header="0"/>
          <w:type w:val="continuous"/>
        </w:sect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320" w:firstLine="342"/>
        <w:spacing w:after="0" w:line="313" w:lineRule="auto"/>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0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580" w:space="100"/>
            <w:col w:w="480" w:space="720"/>
            <w:col w:w="1160" w:space="100"/>
            <w:col w:w="400" w:space="720"/>
            <w:col w:w="3260" w:space="180"/>
            <w:col w:w="1920" w:space="80"/>
            <w:col w:w="6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7200" w:space="160"/>
            <w:col w:w="260" w:space="80"/>
            <w:col w:w="160" w:space="180"/>
            <w:col w:w="3320"/>
          </w:cols>
          <w:pgMar w:left="240" w:top="230" w:right="299" w:bottom="1440" w:gutter="0" w:footer="0" w:header="0"/>
          <w:type w:val="continuous"/>
        </w:sectPr>
      </w:pPr>
    </w:p>
    <w:p>
      <w:pPr>
        <w:ind w:right="180" w:firstLine="342"/>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September 30, 2011, based on the closing price of the shares of Common Stock on the Nasdaq Global Select Market on that date ($3.93 per share) was $149.2 million.</w:t>
      </w:r>
    </w:p>
    <w:p>
      <w:pPr>
        <w:spacing w:after="0" w:line="5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Number of shares outstanding of the registrant’s Common Stock, as of May 29, 2012 was 51,994,311.</w:t>
      </w:r>
    </w:p>
    <w:p>
      <w:pPr>
        <w:spacing w:after="0" w:line="90"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DOCUMENTS INCORPORATED BY REFERENCE</w:t>
      </w:r>
    </w:p>
    <w:p>
      <w:pPr>
        <w:spacing w:after="0" w:line="90" w:lineRule="exact"/>
        <w:rPr>
          <w:sz w:val="24"/>
          <w:szCs w:val="24"/>
          <w:color w:val="auto"/>
        </w:rPr>
      </w:pPr>
    </w:p>
    <w:p>
      <w:pPr>
        <w:ind w:right="200" w:firstLine="342"/>
        <w:spacing w:after="0" w:line="268" w:lineRule="auto"/>
        <w:rPr>
          <w:sz w:val="20"/>
          <w:szCs w:val="20"/>
          <w:color w:val="auto"/>
        </w:rPr>
      </w:pPr>
      <w:r>
        <w:rPr>
          <w:rFonts w:ascii="Arial" w:cs="Arial" w:eastAsia="Arial" w:hAnsi="Arial"/>
          <w:sz w:val="18"/>
          <w:szCs w:val="18"/>
          <w:color w:val="auto"/>
        </w:rPr>
        <w:t>Portions of the definitive proxy statement for the annual meeting of stockholders scheduled to be held on July 27, 2012, to be filed with the Securities and Exchange Commission (the “SEC”), are incorporated by reference in answer 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00" w:type="dxa"/>
            <w:vAlign w:val="bottom"/>
            <w:gridSpan w:val="1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60"/>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Item</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060" w:type="dxa"/>
            <w:vAlign w:val="bottom"/>
            <w:gridSpan w:val="8"/>
          </w:tcPr>
          <w:p>
            <w:pPr>
              <w:spacing w:after="0"/>
              <w:rPr>
                <w:sz w:val="23"/>
                <w:szCs w:val="23"/>
                <w:color w:val="auto"/>
              </w:rPr>
            </w:pPr>
          </w:p>
        </w:tc>
        <w:tc>
          <w:tcPr>
            <w:tcW w:w="280" w:type="dxa"/>
            <w:vAlign w:val="bottom"/>
          </w:tcPr>
          <w:p>
            <w:pPr>
              <w:spacing w:after="0"/>
              <w:rPr>
                <w:sz w:val="23"/>
                <w:szCs w:val="23"/>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8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1A.</w:t>
            </w:r>
          </w:p>
        </w:tc>
        <w:tc>
          <w:tcPr>
            <w:tcW w:w="2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96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1B.</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85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Legal Proceedings</w:t>
              </w:r>
            </w:hyperlink>
          </w:p>
        </w:tc>
        <w:tc>
          <w:tcPr>
            <w:tcW w:w="91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58"/>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1"/>
          </w:tcPr>
          <w:p>
            <w:pPr>
              <w:jc w:val="center"/>
              <w:ind w:right="504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0"/>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7A.</w:t>
            </w:r>
          </w:p>
        </w:tc>
        <w:tc>
          <w:tcPr>
            <w:tcW w:w="260" w:type="dxa"/>
            <w:vAlign w:val="bottom"/>
          </w:tcPr>
          <w:p>
            <w:pPr>
              <w:spacing w:after="0"/>
              <w:rPr>
                <w:sz w:val="17"/>
                <w:szCs w:val="17"/>
                <w:color w:val="auto"/>
              </w:rPr>
            </w:pPr>
          </w:p>
        </w:tc>
        <w:tc>
          <w:tcPr>
            <w:tcW w:w="6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62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63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Changes in and Disagreements With Accountants on Accounting and Financial Disclosure</w:t>
              </w:r>
            </w:hyperlink>
          </w:p>
        </w:tc>
        <w:tc>
          <w:tcPr>
            <w:tcW w:w="41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9A.</w:t>
            </w:r>
          </w:p>
        </w:tc>
        <w:tc>
          <w:tcPr>
            <w:tcW w:w="26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Controls and Procedures</w:t>
              </w:r>
            </w:hyperlink>
          </w:p>
        </w:tc>
        <w:tc>
          <w:tcPr>
            <w:tcW w:w="876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9B.</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358"/>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III</w:t>
              </w:r>
            </w:hyperlink>
          </w:p>
        </w:tc>
        <w:tc>
          <w:tcPr>
            <w:tcW w:w="49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65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10500" w:type="dxa"/>
            <w:vAlign w:val="bottom"/>
            <w:gridSpan w:val="2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7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33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5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Accountant Fees and Services</w:t>
              </w:r>
            </w:hyperlink>
          </w:p>
        </w:tc>
        <w:tc>
          <w:tcPr>
            <w:tcW w:w="52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358"/>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97">
              <w:r>
                <w:rPr>
                  <w:rFonts w:ascii="Arial" w:cs="Arial" w:eastAsia="Arial" w:hAnsi="Arial"/>
                  <w:sz w:val="18"/>
                  <w:szCs w:val="18"/>
                  <w:b w:val="1"/>
                  <w:bCs w:val="1"/>
                  <w:color w:val="0000EE"/>
                  <w:w w:val="95"/>
                </w:rPr>
                <w:t>PART IV</w:t>
              </w:r>
            </w:hyperlink>
          </w:p>
        </w:tc>
        <w:tc>
          <w:tcPr>
            <w:tcW w:w="50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31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Exhibits and Financial Statement Schedules</w:t>
              </w:r>
            </w:hyperlink>
          </w:p>
        </w:tc>
        <w:tc>
          <w:tcPr>
            <w:tcW w:w="74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120015</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5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Our success in addressing the wind energy market is dependent on the manufacturers that license our designs; we may not realize all of the sales expected from our backlog of orders and contracts; our business and operations would be adversely impacted in the event of a failure or security breach of our information technology infrastructure;; our success is dependent upon attracting and retaining qualified personnel and our inability to do so could significantly damage our business and prospects;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our contracts with the U.S.</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we may acquire additional complementary businesses or technologies, which may require us to incur substantial costs for which we may never realize the anticipated benefits; 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 we have limited experience in marketing and selling our superconductor products and system-level solutions, and our failure to effectively market and sell our products and solutions could lower our revenue and cash flow; we have a history of operating losses, and we may incur additional losses in the future; our operating results may fluctuate significantly from quarter to quarter and may fall below expectations in any particular fiscal quarter; we may require additional funding in the future and may be unable to raise capital when needed; our new debt obligations include certain covenants and other events of default. Should we not comply with the covenants or incur an event of default, we may be required to repay our debt obligations in cash, which could have an adverse effect on our liquidity; we have recorded a liability for adverse purchase commitments with certain of our vendors; should we be required to settle these liabilities in cash, our liquidity could be adversely affected; if we fail to maintain proper and effective internal controls over financial reporting, our ability to produce accurate and timely financial statements could be impaired and may lead investors and other users to lose confidence in our financial data; we may be required to issue performance bonds or provide letters of credit, which restricts our ability to access any cash used as collateral for the bonds or letters of credit; changes in exchange rates could adversely affect our results from operations; growth of the wind energy market depends largely on the availability and size of government subsidies and economic incentives;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adverse changes in domestic and global economic conditions could adversely affect our operating results; we may be unable to adequately prevent disclosure of trade secrets and other proprietary information; our patents may not provide meaningful protection for our technology, which could result in us losing some or all of our market position; the commercial uses of superconductor products are limited today, and a widespread commercial market for our products may not develop;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have filed a demand for arbitration and other lawsuits against our former largest customer, Sinovel, regarding amounts we contend are overdue. We cannot be certain as to the outcome of these proceedings; 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7% convertible note contains warrants and provisions that could limit our ability to repay the note in shares of common stock and should the note be repaid in stock, shareholders could experience significant dilution;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1. Item 1A of this Form 10-K for the fiscal year ended March 31, 2012, among others, could cause actual results to differ materially from those indicated by forward- 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were founded in April, 1987 and since our inception, our company has served more than ten wind turbine manufacturing customers including Beijing JINGCHENG New Energy in China, Inox Wind in India, Hyundai Heavy Industries and Korean Electric Power Corporation in South Korea and TECO in Taiwan. We have also served over 100 customers in the grid market since our inception, including American Electric Power and Long Island Power Authority in the United States, EDF Group in France and Ergon Energy in Australia. We serve customers globally through a localized sales and field service presence in our core target markets.</w:t>
      </w:r>
    </w:p>
    <w:p>
      <w:pPr>
        <w:spacing w:after="0" w:line="62"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and national levels, including renewable portfolio standards, tax incentives and international treaties. We estimate that the total addressable global market for our wind and grid solutions is nearly $10 billion.</w:t>
      </w:r>
    </w:p>
    <w:p>
      <w:pPr>
        <w:spacing w:after="0" w:line="3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segment our operations into two market-facing business units: Wind and Grid. We believe this market-centric structure enables us to more effectively anticipate and meet the needs of wind turbine manufacturers, power generation project developers and electric utilities. We have reclassified prior period segment information in the Annual Report on Form 10-K to reflect our new segments.</w:t>
      </w:r>
    </w:p>
    <w:p>
      <w:pPr>
        <w:spacing w:after="0" w:line="59" w:lineRule="exact"/>
        <w:rPr>
          <w:sz w:val="20"/>
          <w:szCs w:val="20"/>
          <w:color w:val="auto"/>
        </w:rPr>
      </w:pPr>
    </w:p>
    <w:p>
      <w:pPr>
        <w:ind w:left="660" w:hanging="206"/>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our Windtec Solutions brand, our Wind segment enables manufacturers to field wind turbines with exceptional power output,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affordability. We license our highly engineered wind turbine designs, provide extensive customer support services and supply advanced power electronics and control systems to wind turbine manufacturers. Our design portfolio includes a broad range of drive trains and power ratings up to 10 megawatts. These designs and support services typically lead to sales of our power electronics and software-based control systems, which are designed for optimized performance, efficiency and grid compatibility.</w:t>
      </w:r>
    </w:p>
    <w:p>
      <w:pPr>
        <w:spacing w:after="0" w:line="34" w:lineRule="exact"/>
        <w:rPr>
          <w:rFonts w:ascii="Arial" w:cs="Arial" w:eastAsia="Arial" w:hAnsi="Arial"/>
          <w:sz w:val="18"/>
          <w:szCs w:val="18"/>
          <w:color w:val="auto"/>
        </w:rPr>
      </w:pPr>
    </w:p>
    <w:p>
      <w:pPr>
        <w:ind w:left="660" w:right="60" w:hanging="206"/>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brand, our Grid segment enables electric utilities and renewable energy project developers to connect, transmit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6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fiscal year begins on April 1 and ends on March 31. When we refer to a particular fiscal year, we are referring to the fiscal year beginning on April 1 of that same year. For example, fiscal 2011 refers to the fiscal year beginning on April 1, 2011. Other fiscal years follow similarly.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position us well to execute on our growth plans in the markets we serve.</w:t>
      </w:r>
    </w:p>
    <w:p>
      <w:pPr>
        <w:spacing w:after="0" w:line="90" w:lineRule="exact"/>
        <w:rPr>
          <w:sz w:val="20"/>
          <w:szCs w:val="20"/>
          <w:color w:val="auto"/>
        </w:rPr>
      </w:pPr>
    </w:p>
    <w:p>
      <w:pPr>
        <w:ind w:left="660" w:right="1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Unique Solutions for the Wind and Grid Markets. </w:t>
      </w:r>
      <w:r>
        <w:rPr>
          <w:rFonts w:ascii="Arial" w:cs="Arial" w:eastAsia="Arial" w:hAnsi="Arial"/>
          <w:sz w:val="18"/>
          <w:szCs w:val="18"/>
          <w:color w:val="auto"/>
        </w:rPr>
        <w:t>We believe we are the only company in the world that provides wind turbine manufacturers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approach of wind turbine design and engineering,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0"/>
        <w:spacing w:after="0" w:line="256" w:lineRule="auto"/>
        <w:rPr>
          <w:sz w:val="20"/>
          <w:szCs w:val="20"/>
          <w:color w:val="auto"/>
        </w:rPr>
      </w:pPr>
      <w:r>
        <w:rPr>
          <w:rFonts w:ascii="Arial" w:cs="Arial" w:eastAsia="Arial" w:hAnsi="Arial"/>
          <w:sz w:val="18"/>
          <w:szCs w:val="18"/>
          <w:color w:val="auto"/>
        </w:rPr>
        <w:t>customer support services and power electronics and control systems. We also believe we are the only company in the world that is able to provide transmission planning services, grid interconnection and voltage control systems as well as superconductor-based transmission and distribution systems for power grid operators. This unique scope of supply provides us with greater insight into our customers’ evolving needs and greater cross-selling opportunities as our company grows.</w:t>
      </w:r>
    </w:p>
    <w:p>
      <w:pPr>
        <w:spacing w:after="0" w:line="62" w:lineRule="exact"/>
        <w:rPr>
          <w:sz w:val="20"/>
          <w:szCs w:val="20"/>
          <w:color w:val="auto"/>
        </w:rPr>
      </w:pPr>
    </w:p>
    <w:p>
      <w:pPr>
        <w:ind w:left="660" w:hanging="206"/>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Differentiated Technologies</w:t>
      </w:r>
      <w:r>
        <w:rPr>
          <w:rFonts w:ascii="Arial" w:cs="Arial" w:eastAsia="Arial" w:hAnsi="Arial"/>
          <w:sz w:val="18"/>
          <w:szCs w:val="18"/>
          <w:color w:val="auto"/>
        </w:rPr>
        <w:t>. Our PowerModule</w:t>
      </w:r>
      <w:r>
        <w:rPr>
          <w:rFonts w:ascii="Arial" w:cs="Arial" w:eastAsia="Arial" w:hAnsi="Arial"/>
          <w:sz w:val="11"/>
          <w:szCs w:val="11"/>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power converters are based on proprietary software and hardware combinations and are used in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array of applications, including our D-VAR</w:t>
      </w:r>
      <w:r>
        <w:rPr>
          <w:rFonts w:ascii="Arial" w:cs="Arial" w:eastAsia="Arial" w:hAnsi="Arial"/>
          <w:sz w:val="11"/>
          <w:szCs w:val="11"/>
          <w:color w:val="auto"/>
        </w:rPr>
        <w:t>®</w:t>
      </w:r>
      <w:r>
        <w:rPr>
          <w:rFonts w:ascii="Arial" w:cs="Arial" w:eastAsia="Arial" w:hAnsi="Arial"/>
          <w:sz w:val="18"/>
          <w:szCs w:val="18"/>
          <w:color w:val="auto"/>
        </w:rPr>
        <w:t xml:space="preserve"> grid interconnection and voltage control systems, as well as our wind turbine core electrical components and electrical control systems. Our proprietary Amperium™ wire was engineered to allow us to tailor the product via laminations to meet the electrical and mechanical performance requirements of widely varying end-use applications, including power cables and fault current limiters for the Grid market and generators for the Wind market.</w:t>
      </w:r>
    </w:p>
    <w:p>
      <w:pPr>
        <w:spacing w:after="0" w:line="61"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Highly Scalable, Low-Cost Manufacturing Platform. </w:t>
      </w:r>
      <w:r>
        <w:rPr>
          <w:rFonts w:ascii="Arial" w:cs="Arial" w:eastAsia="Arial" w:hAnsi="Arial"/>
          <w:sz w:val="18"/>
          <w:szCs w:val="18"/>
          <w:color w:val="auto"/>
        </w:rPr>
        <w:t>We can increase the production of our proprietary power electronics and superconductor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at costs that we believe are low relative to our competitors. Our proprietary manufacturing technique for Amperium™ wires is modular in nature, which allows us to expand manufacturing capacity at a relatively low incremental cost.</w:t>
      </w:r>
    </w:p>
    <w:p>
      <w:pPr>
        <w:spacing w:after="0" w:line="59" w:lineRule="exact"/>
        <w:rPr>
          <w:rFonts w:ascii="Arial" w:cs="Arial" w:eastAsia="Arial" w:hAnsi="Arial"/>
          <w:sz w:val="18"/>
          <w:szCs w:val="18"/>
          <w:color w:val="auto"/>
        </w:rPr>
      </w:pPr>
    </w:p>
    <w:p>
      <w:pPr>
        <w:ind w:left="660" w:right="200" w:hanging="206"/>
        <w:spacing w:after="0" w:line="30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Robust Patent Position and Engineering Expertise. </w:t>
      </w:r>
      <w:r>
        <w:rPr>
          <w:rFonts w:ascii="Arial" w:cs="Arial" w:eastAsia="Arial" w:hAnsi="Arial"/>
          <w:sz w:val="16"/>
          <w:szCs w:val="16"/>
          <w:color w:val="auto"/>
        </w:rPr>
        <w:t>As of March 31, 2012, we owned more than 155 patents and patent applications worldwide, and</w:t>
      </w:r>
      <w:r>
        <w:rPr>
          <w:rFonts w:ascii="Arial" w:cs="Arial" w:eastAsia="Arial" w:hAnsi="Arial"/>
          <w:sz w:val="16"/>
          <w:szCs w:val="16"/>
          <w:i w:val="1"/>
          <w:iCs w:val="1"/>
          <w:color w:val="auto"/>
        </w:rPr>
        <w:t xml:space="preserve"> </w:t>
      </w:r>
      <w:r>
        <w:rPr>
          <w:rFonts w:ascii="Arial" w:cs="Arial" w:eastAsia="Arial" w:hAnsi="Arial"/>
          <w:sz w:val="16"/>
          <w:szCs w:val="16"/>
          <w:color w:val="auto"/>
        </w:rPr>
        <w:t>had rights through exclusive and non-exclusive licenses to more than 270 additional patents and patent applications. We believe our technology and manufacturing knowledge base, customer and product expertise and patent portfolio provide a strong competitive position.</w:t>
      </w:r>
    </w:p>
    <w:p>
      <w:pPr>
        <w:spacing w:after="0" w:line="25" w:lineRule="exact"/>
        <w:rPr>
          <w:rFonts w:ascii="Arial" w:cs="Arial" w:eastAsia="Arial" w:hAnsi="Arial"/>
          <w:sz w:val="16"/>
          <w:szCs w:val="16"/>
          <w:color w:val="auto"/>
        </w:rPr>
      </w:pPr>
    </w:p>
    <w:p>
      <w:pPr>
        <w:ind w:left="660" w:right="6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Experienced Team. </w:t>
      </w:r>
      <w:r>
        <w:rPr>
          <w:rFonts w:ascii="Arial" w:cs="Arial" w:eastAsia="Arial" w:hAnsi="Arial"/>
          <w:sz w:val="18"/>
          <w:szCs w:val="18"/>
          <w:color w:val="auto"/>
        </w:rPr>
        <w:t>Our senior management team has extensive energy experience and is composed of veterans of the electrical equipment, utility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wind power markets. As of March 31, 2012, management was supported by 446 employees worldwide, 21 of whom hold Ph.Ds in materials science, physics, metallurgy, engineering or other fields.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Building on these competitive strengths, we plan to focus on driving revenue growth and enhancing our operating results through the objectives defined below.</w:t>
      </w:r>
    </w:p>
    <w:p>
      <w:pPr>
        <w:spacing w:after="0" w:line="51" w:lineRule="exact"/>
        <w:rPr>
          <w:sz w:val="20"/>
          <w:szCs w:val="20"/>
          <w:color w:val="auto"/>
        </w:rPr>
      </w:pPr>
    </w:p>
    <w:p>
      <w:pPr>
        <w:ind w:left="440" w:right="360" w:hanging="324"/>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Provide Solutions from Power Generation to Delivery. </w:t>
      </w:r>
      <w:r>
        <w:rPr>
          <w:rFonts w:ascii="Arial" w:cs="Arial" w:eastAsia="Arial" w:hAnsi="Arial"/>
          <w:sz w:val="18"/>
          <w:szCs w:val="18"/>
          <w:color w:val="auto"/>
        </w:rPr>
        <w:t>From the generation source to the consumer, we focus on providing best-in-class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services, technologies and solutions that make the world’s power supplies smarter, cleaner and stronger.</w:t>
      </w:r>
    </w:p>
    <w:p>
      <w:pPr>
        <w:spacing w:after="0" w:line="50"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Focus on “Megawatt-Scale” Power Offerings. </w:t>
      </w:r>
      <w:r>
        <w:rPr>
          <w:rFonts w:ascii="Arial" w:cs="Arial" w:eastAsia="Arial" w:hAnsi="Arial"/>
          <w:sz w:val="18"/>
          <w:szCs w:val="18"/>
          <w:color w:val="auto"/>
        </w:rPr>
        <w:t>Our research, product development and sales efforts focus on megawatt-scale offerings ranging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designs of and power electronics for large wind turbine platforms to systems that stabilize power flows, integrate renewable power into the grid and carry power to and from transmission and distribution substations.</w:t>
      </w:r>
    </w:p>
    <w:p>
      <w:pPr>
        <w:spacing w:after="0" w:line="59" w:lineRule="exact"/>
        <w:rPr>
          <w:rFonts w:ascii="Arial" w:cs="Arial" w:eastAsia="Arial" w:hAnsi="Arial"/>
          <w:sz w:val="18"/>
          <w:szCs w:val="18"/>
          <w:color w:val="auto"/>
        </w:rPr>
      </w:pPr>
    </w:p>
    <w:p>
      <w:pPr>
        <w:ind w:left="440" w:right="300" w:hanging="324"/>
        <w:spacing w:after="0" w:line="255"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Pursue Emerging Overseas Markets and Serve Key Markets Locally. </w:t>
      </w:r>
      <w:r>
        <w:rPr>
          <w:rFonts w:ascii="Arial" w:cs="Arial" w:eastAsia="Arial" w:hAnsi="Arial"/>
          <w:sz w:val="18"/>
          <w:szCs w:val="18"/>
          <w:color w:val="auto"/>
        </w:rPr>
        <w:t>We focus our sales efforts on overseas markets that are investing aggressively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and power grid projects, and we have been particularly successful in targeting key Asian markets, including China, India and South Korea. As part of our strategy, we serve our key target markets with local sales and field service personnel, which enables us to understand market dynamics and more effectively anticipate customer needs while also reducing response time. We currently have operations in target markets such as Australia, China, India and South Korea.</w:t>
      </w:r>
    </w:p>
    <w:p>
      <w:pPr>
        <w:spacing w:after="0" w:line="61" w:lineRule="exact"/>
        <w:rPr>
          <w:rFonts w:ascii="Arial" w:cs="Arial" w:eastAsia="Arial" w:hAnsi="Arial"/>
          <w:sz w:val="18"/>
          <w:szCs w:val="18"/>
          <w:color w:val="auto"/>
        </w:rPr>
      </w:pPr>
    </w:p>
    <w:p>
      <w:pPr>
        <w:ind w:left="440" w:right="200" w:hanging="324"/>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We have a strong record of developing unique solutions for megawatt-scale power applications and will continue our focus 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in innovation. In recent years, our product development efforts have included wind power-specific power converters and superconductor-based generators for 10 megawatt-scale wind turbines.</w:t>
      </w:r>
    </w:p>
    <w:p>
      <w:pPr>
        <w:spacing w:after="0" w:line="59" w:lineRule="exact"/>
        <w:rPr>
          <w:rFonts w:ascii="Arial" w:cs="Arial" w:eastAsia="Arial" w:hAnsi="Arial"/>
          <w:sz w:val="18"/>
          <w:szCs w:val="18"/>
          <w:color w:val="auto"/>
        </w:rPr>
      </w:pPr>
    </w:p>
    <w:p>
      <w:pPr>
        <w:ind w:left="440" w:right="200" w:hanging="324"/>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Pursue Targeted Strategic Acquisitions and Alliances. </w:t>
      </w:r>
      <w:r>
        <w:rPr>
          <w:rFonts w:ascii="Arial" w:cs="Arial" w:eastAsia="Arial" w:hAnsi="Arial"/>
          <w:sz w:val="18"/>
          <w:szCs w:val="18"/>
          <w:color w:val="auto"/>
        </w:rPr>
        <w:t>We will continue to pursue strategic business relationships and acquisitions that complement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portfolio and increase our rate of growth.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have built strategic alliances and close corporate relationships with many industry leaders (including LS Cable, Nexans, Siemens and Vestas) to develop and commercialize our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solutions address two substantial global demands:</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renewable sources of electricity, and</w:t>
      </w:r>
    </w:p>
    <w:p>
      <w:pPr>
        <w:spacing w:after="0" w:line="90"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modernized, smart power grid infrastructure that alleviates capacity constraints and improves electricity reliability, security and efficiency.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Wind market overview</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market for wind-generated, zero-emission electricity has grown dramatically for more than a decade. According to the Global Wind Energy Council (the “GWEC”), more than 41,000 megawatts (“MW”) of wind generation capacity were added worldwide in 2011, as compared to 38,000 MW in 2010. We expect that the rate of global wind power installations in 2012 will be roughly equivalent with 2011.</w:t>
      </w:r>
    </w:p>
    <w:p>
      <w:pPr>
        <w:spacing w:after="0" w:line="5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Several factors are driving growth in the wind power market, including substantial government incentives and mandates that have been established globally, technological improvements, turbine cost reductions and increasing cost competitiveness with existing power generation technologies. According to GWEC, by early 2011, at least 119 countries had some form of national policy support for renewable energy, more than double the 55 countries that provided such support in 2005. Technological advances, declining turbine production cost and increasing prices for fossil fuels continue to increase the competitiveness of wind versus traditional power generation technologies.</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vast majority of the wind power capacity installed worldwide to date is onshore. In the future, industry analysts anticipate rapid growth in the offshore wind market due to its advantages in terms of both wind patterns and real estate availability. Industry research firm IHS Emerging Energy Research expects the installed base of offshore wind power to increase from approximately 3,000 MW at the end of 2010 to nearly 50,000 MW by the end of 2020 as wind turbine power ratings and performance continue to improve and project costs decline.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solutions for the wind market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address the challenges of the wind energy market by designing and engineering wind turbines, providing extensive support services to wind turbine manufacturers and manufacturing and selling critical components for wind turbines.</w:t>
      </w:r>
    </w:p>
    <w:p>
      <w:pPr>
        <w:spacing w:after="0" w:line="51" w:lineRule="exact"/>
        <w:rPr>
          <w:sz w:val="20"/>
          <w:szCs w:val="20"/>
          <w:color w:val="auto"/>
        </w:rPr>
      </w:pPr>
    </w:p>
    <w:p>
      <w:pPr>
        <w:ind w:left="660" w:right="200" w:hanging="20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Wind Turbine Designs. </w:t>
      </w:r>
      <w:r>
        <w:rPr>
          <w:rFonts w:ascii="Arial" w:cs="Arial" w:eastAsia="Arial" w:hAnsi="Arial"/>
          <w:sz w:val="18"/>
          <w:szCs w:val="18"/>
          <w:color w:val="auto"/>
        </w:rPr>
        <w:t>We design and develop entire state-of-the-art onshore and offshore wind turbines with power ratings up to 10 megawatts for</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who are in the business of producing wind turbines or who plan to enter the business of manufacturing wind turbines. These customers typically pay us licensing fees for wind turbine designs and purchase from us the core electrical components or complete electrical control systems needed to operate the wind turbines.</w:t>
      </w:r>
    </w:p>
    <w:p>
      <w:pPr>
        <w:spacing w:after="0" w:line="62"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Customer Support Services</w:t>
      </w:r>
      <w:r>
        <w:rPr>
          <w:rFonts w:ascii="Arial" w:cs="Arial" w:eastAsia="Arial" w:hAnsi="Arial"/>
          <w:sz w:val="18"/>
          <w:szCs w:val="18"/>
          <w:color w:val="auto"/>
        </w:rPr>
        <w:t>. We provide extensive customer support services to wind turbine manufacturers. These services range from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62" w:lineRule="exact"/>
        <w:rPr>
          <w:rFonts w:ascii="Arial" w:cs="Arial" w:eastAsia="Arial" w:hAnsi="Arial"/>
          <w:sz w:val="18"/>
          <w:szCs w:val="18"/>
          <w:color w:val="auto"/>
        </w:rPr>
      </w:pPr>
    </w:p>
    <w:p>
      <w:pPr>
        <w:ind w:left="660" w:hanging="206"/>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Electrical Control Systems. </w:t>
      </w:r>
      <w:r>
        <w:rPr>
          <w:rFonts w:ascii="Arial" w:cs="Arial" w:eastAsia="Arial" w:hAnsi="Arial"/>
          <w:sz w:val="18"/>
          <w:szCs w:val="18"/>
          <w:color w:val="auto"/>
        </w:rPr>
        <w:t>We provide full electrical control systems or a subset of those systems (“core electrical components”) to manufacturers of</w:t>
      </w:r>
      <w:r>
        <w:rPr>
          <w:rFonts w:ascii="Arial" w:cs="Arial" w:eastAsia="Arial" w:hAnsi="Arial"/>
          <w:sz w:val="18"/>
          <w:szCs w:val="18"/>
          <w:i w:val="1"/>
          <w:iCs w:val="1"/>
          <w:color w:val="auto"/>
        </w:rPr>
        <w:t xml:space="preserve"> </w:t>
      </w:r>
      <w:r>
        <w:rPr>
          <w:rFonts w:ascii="Arial" w:cs="Arial" w:eastAsia="Arial" w:hAnsi="Arial"/>
          <w:sz w:val="18"/>
          <w:szCs w:val="18"/>
          <w:color w:val="auto"/>
        </w:rPr>
        <w:t>wind turbines designed by us. Our electrical control systems regulate voltage, control power flows and maximize wind turbine efficiency, among other functions. To date, we have shipped enough core electrical components and complete electrical control systems to power more than 10,000 MW of wind power. We believe our electrical control systems represent approximately 10% of a wind turbine’s bill of materials, representing an addressable market in excess of $3 billion annually in 2011.</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unique approach to the wind energy markets allows our customers to use our world-class turbine engineering capabilities while minimizing their research and development costs. These services and our advanced electrical control systems and core electrical components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 We have designed wind turbines for, or have licensed wind turbines to, more than 10 manufacturers in Europe and Asia.</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Grid market 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Until the early part of the previous decade, transmission grid investment in the United States experienced a prolonged decline caused by uncertainty regarding the ownership of and return on transmission grid investments. This period of underinvestment resulted in an increasing number of grid disturbances and blackouts. A study conducted by researchers at Lawrence Berkeley National Laboratory found that electric power outages and blackouts cost the United States approximately $80 billion annually. These events and statistics have prompted broad recognition worldwide of the need to modernize and enhance the security of power grids. An increasing number of nations, including China, South Korea and the United States, are promoting the adoption of new smart grid technologies and programs to enhance grid capacity, efficiency and reliability.</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Power grid operators worldwide face various challenges, including:</w:t>
      </w:r>
    </w:p>
    <w:p>
      <w:pPr>
        <w:spacing w:after="0" w:line="90" w:lineRule="exact"/>
        <w:rPr>
          <w:sz w:val="20"/>
          <w:szCs w:val="20"/>
          <w:color w:val="auto"/>
        </w:rPr>
      </w:pPr>
    </w:p>
    <w:p>
      <w:pPr>
        <w:ind w:left="660" w:right="38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Stability</w:t>
      </w:r>
      <w:r>
        <w:rPr>
          <w:rFonts w:ascii="Arial" w:cs="Arial" w:eastAsia="Arial" w:hAnsi="Arial"/>
          <w:sz w:val="18"/>
          <w:szCs w:val="18"/>
          <w:color w:val="auto"/>
        </w:rPr>
        <w:t>. Power grid operators are confronting power quality and stability issues arising from intermittent renewable energy sources and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limitations of transmission and overhead distribution lines and underground cables.</w:t>
      </w:r>
    </w:p>
    <w:p>
      <w:pPr>
        <w:spacing w:after="0" w:line="5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Traditional transmission lines and cables often reach their reliable voltage limit well below their thermal threshold. Driving more power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power grid when some lines and cables are operating above their voltage stability limit at peak demand times causes either low voltage in the power grid (a brownout) or risk of a sudden, uncontrollable voltage collapse (a blackout).</w:t>
      </w:r>
    </w:p>
    <w:p>
      <w:pPr>
        <w:spacing w:after="0" w:line="59" w:lineRule="exact"/>
        <w:rPr>
          <w:rFonts w:ascii="Arial" w:cs="Arial" w:eastAsia="Arial" w:hAnsi="Arial"/>
          <w:sz w:val="18"/>
          <w:szCs w:val="18"/>
          <w:color w:val="auto"/>
        </w:rPr>
      </w:pPr>
    </w:p>
    <w:p>
      <w:pPr>
        <w:ind w:left="660" w:right="40" w:hanging="206"/>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Capacity</w:t>
      </w:r>
      <w:r>
        <w:rPr>
          <w:rFonts w:ascii="Arial" w:cs="Arial" w:eastAsia="Arial" w:hAnsi="Arial"/>
          <w:sz w:val="16"/>
          <w:szCs w:val="16"/>
          <w:color w:val="auto"/>
        </w:rPr>
        <w:t>. The traditional way to increase power grid capacity without losing voltage stability is to install more overhead power lines and underground</w:t>
      </w:r>
      <w:r>
        <w:rPr>
          <w:rFonts w:ascii="Arial" w:cs="Arial" w:eastAsia="Arial" w:hAnsi="Arial"/>
          <w:sz w:val="16"/>
          <w:szCs w:val="16"/>
          <w:i w:val="1"/>
          <w:iCs w:val="1"/>
          <w:color w:val="auto"/>
        </w:rPr>
        <w:t xml:space="preserve"> </w:t>
      </w:r>
      <w:r>
        <w:rPr>
          <w:rFonts w:ascii="Arial" w:cs="Arial" w:eastAsia="Arial" w:hAnsi="Arial"/>
          <w:sz w:val="16"/>
          <w:szCs w:val="16"/>
          <w:color w:val="auto"/>
        </w:rPr>
        <w:t>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39" w:lineRule="exact"/>
        <w:rPr>
          <w:rFonts w:ascii="Arial" w:cs="Arial" w:eastAsia="Arial" w:hAnsi="Arial"/>
          <w:sz w:val="16"/>
          <w:szCs w:val="16"/>
          <w:color w:val="auto"/>
        </w:rPr>
      </w:pPr>
    </w:p>
    <w:p>
      <w:pPr>
        <w:ind w:left="660" w:right="180" w:hanging="206"/>
        <w:spacing w:after="0" w:line="30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Efficiency</w:t>
      </w:r>
      <w:r>
        <w:rPr>
          <w:rFonts w:ascii="Arial" w:cs="Arial" w:eastAsia="Arial" w:hAnsi="Arial"/>
          <w:sz w:val="16"/>
          <w:szCs w:val="16"/>
          <w:color w:val="auto"/>
        </w:rPr>
        <w:t>. Most overhead lines and underground cables use traditional conductors such as copper and aluminum, which lose power due to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resistance. At transmission voltage, electrical losses average about 7% in the United States and other developed nations, but can exceed 20% in some locations due to the distance of the line and the power grid’s architecture and characteristics, among other factors.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solutions for the grid market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address these challenges in the Grid market by providing services and solutions designed to increase the power grid’s capacity, reliability, security and efficiency.</w:t>
      </w:r>
    </w:p>
    <w:p>
      <w:pPr>
        <w:spacing w:after="0" w:line="51" w:lineRule="exact"/>
        <w:rPr>
          <w:sz w:val="20"/>
          <w:szCs w:val="20"/>
          <w:color w:val="auto"/>
        </w:rPr>
      </w:pPr>
    </w:p>
    <w:p>
      <w:pPr>
        <w:ind w:left="660" w:right="140" w:hanging="206"/>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Transmission Planning Services. </w:t>
      </w:r>
      <w:r>
        <w:rPr>
          <w:rFonts w:ascii="Arial" w:cs="Arial" w:eastAsia="Arial" w:hAnsi="Arial"/>
          <w:sz w:val="18"/>
          <w:szCs w:val="18"/>
          <w:color w:val="auto"/>
        </w:rPr>
        <w:t>We provide transmission planning services that identify power grid constraints and determine how our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might improve network performance. These services often lead to sales of grid interconnection solutions for wind farms and solar power plants, power quality systems and transmission and distribution cable systems.</w:t>
      </w:r>
    </w:p>
    <w:p>
      <w:pPr>
        <w:spacing w:after="0" w:line="59"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D-VAR</w:t>
      </w:r>
      <w:r>
        <w:rPr>
          <w:rFonts w:ascii="Arial" w:cs="Arial" w:eastAsia="Arial" w:hAnsi="Arial"/>
          <w:sz w:val="11"/>
          <w:szCs w:val="11"/>
          <w:color w:val="auto"/>
        </w:rPr>
        <w:t>®</w:t>
      </w:r>
      <w:r>
        <w:rPr>
          <w:rFonts w:ascii="Arial" w:cs="Arial" w:eastAsia="Arial" w:hAnsi="Arial"/>
          <w:sz w:val="18"/>
          <w:szCs w:val="18"/>
          <w:i w:val="1"/>
          <w:iCs w:val="1"/>
          <w:color w:val="auto"/>
        </w:rPr>
        <w:t xml:space="preserve"> Systems</w:t>
      </w:r>
      <w:r>
        <w:rPr>
          <w:rFonts w:ascii="Arial" w:cs="Arial" w:eastAsia="Arial" w:hAnsi="Arial"/>
          <w:sz w:val="18"/>
          <w:szCs w:val="18"/>
          <w:color w:val="auto"/>
        </w:rPr>
        <w:t>. The power that flows through alternating current (“AC”) networks comprises both real power, measured in watts, and reactive</w:t>
      </w:r>
      <w:r>
        <w:rPr>
          <w:rFonts w:ascii="Arial" w:cs="Arial" w:eastAsia="Arial" w:hAnsi="Arial"/>
          <w:sz w:val="18"/>
          <w:szCs w:val="18"/>
          <w:i w:val="1"/>
          <w:iCs w:val="1"/>
          <w:color w:val="auto"/>
        </w:rPr>
        <w:t xml:space="preserve"> </w:t>
      </w:r>
      <w:r>
        <w:rPr>
          <w:rFonts w:ascii="Arial" w:cs="Arial" w:eastAsia="Arial" w:hAnsi="Arial"/>
          <w:sz w:val="18"/>
          <w:szCs w:val="18"/>
          <w:color w:val="auto"/>
        </w:rPr>
        <w:t>power, measured in Volt Amp Reactives (“VARs”). In simple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306" w:lineRule="auto"/>
        <w:rPr>
          <w:sz w:val="20"/>
          <w:szCs w:val="20"/>
          <w:color w:val="auto"/>
        </w:rPr>
      </w:pPr>
      <w:r>
        <w:rPr>
          <w:rFonts w:ascii="Arial" w:cs="Arial" w:eastAsia="Arial" w:hAnsi="Arial"/>
          <w:sz w:val="16"/>
          <w:szCs w:val="16"/>
          <w:color w:val="auto"/>
        </w:rPr>
        <w:t>reactive power is required to support voltage in the power network. D-VAR</w:t>
      </w:r>
      <w:r>
        <w:rPr>
          <w:rFonts w:ascii="Arial" w:cs="Arial" w:eastAsia="Arial" w:hAnsi="Arial"/>
          <w:sz w:val="10"/>
          <w:szCs w:val="10"/>
          <w:color w:val="auto"/>
        </w:rPr>
        <w:t>®</w:t>
      </w:r>
      <w:r>
        <w:rPr>
          <w:rFonts w:ascii="Arial" w:cs="Arial" w:eastAsia="Arial" w:hAnsi="Arial"/>
          <w:sz w:val="16"/>
          <w:szCs w:val="16"/>
          <w:color w:val="auto"/>
        </w:rPr>
        <w:t xml:space="preserve"> systems can provide the reactive power needed to stabilize voltage on the grid. These systems also can be used to connect wind farms and solar power plants to the power grid seamlessly. Global Industry Analysts estimates that the global market for Flexible AC Transmission Systems (“FACTS”) such as D-VAR</w:t>
      </w:r>
      <w:r>
        <w:rPr>
          <w:rFonts w:ascii="Arial" w:cs="Arial" w:eastAsia="Arial" w:hAnsi="Arial"/>
          <w:sz w:val="10"/>
          <w:szCs w:val="10"/>
          <w:color w:val="auto"/>
        </w:rPr>
        <w:t>®</w:t>
      </w:r>
      <w:r>
        <w:rPr>
          <w:rFonts w:ascii="Arial" w:cs="Arial" w:eastAsia="Arial" w:hAnsi="Arial"/>
          <w:sz w:val="16"/>
          <w:szCs w:val="16"/>
          <w:color w:val="auto"/>
        </w:rPr>
        <w:t xml:space="preserve"> was $1.5 billion in 2009.</w:t>
      </w:r>
    </w:p>
    <w:p>
      <w:pPr>
        <w:spacing w:after="0" w:line="26" w:lineRule="exact"/>
        <w:rPr>
          <w:sz w:val="20"/>
          <w:szCs w:val="20"/>
          <w:color w:val="auto"/>
        </w:rPr>
      </w:pPr>
    </w:p>
    <w:p>
      <w:pPr>
        <w:ind w:left="660" w:right="100" w:hanging="206"/>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Superconductor Wire</w:t>
      </w:r>
      <w:r>
        <w:rPr>
          <w:rFonts w:ascii="Arial" w:cs="Arial" w:eastAsia="Arial" w:hAnsi="Arial"/>
          <w:sz w:val="18"/>
          <w:szCs w:val="18"/>
          <w:color w:val="auto"/>
        </w:rPr>
        <w:t>. Conventional conductors of electricity, such as aluminum and copper wire, lose energy due to resistance. Using a compound of</w:t>
      </w:r>
      <w:r>
        <w:rPr>
          <w:rFonts w:ascii="Arial" w:cs="Arial" w:eastAsia="Arial" w:hAnsi="Arial"/>
          <w:sz w:val="18"/>
          <w:szCs w:val="18"/>
          <w:i w:val="1"/>
          <w:iCs w:val="1"/>
          <w:color w:val="auto"/>
        </w:rPr>
        <w:t xml:space="preserve"> </w:t>
      </w:r>
      <w:r>
        <w:rPr>
          <w:rFonts w:ascii="Arial" w:cs="Arial" w:eastAsia="Arial" w:hAnsi="Arial"/>
          <w:sz w:val="18"/>
          <w:szCs w:val="18"/>
          <w:color w:val="auto"/>
        </w:rPr>
        <w:t>yttrium barium copper oxide (“YBCO”), we manufacture and provide superconductor wire that can conduct many times more electricity than conventional conductors with no power loss. This wire can be incorporated into a variety of applications, including motors, generators, fault current limiters and, most importantly, power cables.</w:t>
      </w:r>
    </w:p>
    <w:p>
      <w:pPr>
        <w:spacing w:after="0" w:line="62" w:lineRule="exact"/>
        <w:rPr>
          <w:rFonts w:ascii="Arial" w:cs="Arial" w:eastAsia="Arial" w:hAnsi="Arial"/>
          <w:sz w:val="18"/>
          <w:szCs w:val="18"/>
          <w:color w:val="auto"/>
        </w:rPr>
      </w:pPr>
    </w:p>
    <w:p>
      <w:pPr>
        <w:ind w:left="660" w:right="200" w:hanging="206"/>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Power Cables</w:t>
      </w:r>
      <w:r>
        <w:rPr>
          <w:rFonts w:ascii="Arial" w:cs="Arial" w:eastAsia="Arial" w:hAnsi="Arial"/>
          <w:sz w:val="18"/>
          <w:szCs w:val="18"/>
          <w:color w:val="auto"/>
        </w:rPr>
        <w:t>. Underground cables, rather than overhead power lines, transmit an increasing amount of the world’s power, particularly in urban and</w:t>
      </w:r>
      <w:r>
        <w:rPr>
          <w:rFonts w:ascii="Arial" w:cs="Arial" w:eastAsia="Arial" w:hAnsi="Arial"/>
          <w:sz w:val="18"/>
          <w:szCs w:val="18"/>
          <w:i w:val="1"/>
          <w:iCs w:val="1"/>
          <w:color w:val="auto"/>
        </w:rPr>
        <w:t xml:space="preserve"> </w:t>
      </w:r>
      <w:r>
        <w:rPr>
          <w:rFonts w:ascii="Arial" w:cs="Arial" w:eastAsia="Arial" w:hAnsi="Arial"/>
          <w:sz w:val="18"/>
          <w:szCs w:val="18"/>
          <w:color w:val="auto"/>
        </w:rPr>
        <w:t>metropolitan areas. As power demands grow, grid capacity and reliability issues can arise. With their ability to carry up to ten times more power than conventional power cables, superconductor cables can effectively break this bottleneck. We offer cable systems that are manufactured by third parties and also offer turnkey project management services to electric utilities. We believe the market for medium, high and extra-high voltage power cables exceeds $5 billion annually.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Technologies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Superconductors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second generation (“2G”) high-temperature (“HTS”) wire technology helps us address the smart grid infrastructure market opportunity by providing components and solutions designed to increase the power grid’s capacity, reliability, security and efficiency. Our wire, known as Amperium™ wire, conducts electricity with zero resistance below about -297 degrees Fahrenheit. The technology can be used in many applications including electricity transmission cables, superconducting generators, voltage regulators and degaussing systems for naval vessels. Superconductor power cables, which are a class of high-capacity, environmentally-benign and easy-to-install transmission and distribution cables, address power grid capacity issues by increasing the thermal limit of existing or new corridors. Superconductor power cables are cylindrically shaped systems consisting of HTS wires (which conduct electricity) surrounded by electrical insulation encased in a metal or polymeric jacket.</w:t>
      </w:r>
    </w:p>
    <w:p>
      <w:pPr>
        <w:spacing w:after="0" w:line="3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Currently, power cables are made primarily using copper wires. Power cables incorporating our Amperium™ wire are able to carry up to ten times the electrical current of copper cables of the same diameter. These new cable systems also bring efficiency advantages. Traditional cable systems heat up due to the electrical resistance of copper, causing electrical losses. Electrical losses at transmission voltage average about 7% in the United States and other developed nations, but can exceed 20% in some locations due to the distance of the line and the power grid’s architecture and characteristics, among other factors. Conversely, HTS materials can carry direct current (“DC”) with 100% efficiency and alternating current (“AC”) with nearly 100% efficiency when they are cooled below a critical temperature. As a result, AC HTS power cables lose significantly less power to resistive heating than copper cables, and DC HTS power cables have no energy losses due to resistive heating.</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PowerModule Power Converters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family of PowerModule</w:t>
      </w:r>
      <w:r>
        <w:rPr>
          <w:rFonts w:ascii="Arial" w:cs="Arial" w:eastAsia="Arial" w:hAnsi="Arial"/>
          <w:sz w:val="10"/>
          <w:szCs w:val="10"/>
          <w:color w:val="auto"/>
        </w:rPr>
        <w:t>TM</w:t>
      </w:r>
      <w:r>
        <w:rPr>
          <w:rFonts w:ascii="Arial" w:cs="Arial" w:eastAsia="Arial" w:hAnsi="Arial"/>
          <w:sz w:val="16"/>
          <w:szCs w:val="16"/>
          <w:color w:val="auto"/>
        </w:rPr>
        <w:t xml:space="preserve"> power electronic converters incorporates power semiconductor devices that switch, control and move large amounts of power faster and with far less disruption than the electromechanical switches historically used. While our family of PowerModule™ systems today are used primarily in wind and power grid applications, they also have been incorporated into electric motor drives, distributed and dispersed generation devices (micro-turbines, fuel cells and PVs), power quality solutions, batteries and flywheel-based uninterruptible power supplies.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wind turbine electrical control systems and our D-VAR</w:t>
      </w:r>
      <w:r>
        <w:rPr>
          <w:rFonts w:ascii="Arial" w:cs="Arial" w:eastAsia="Arial" w:hAnsi="Arial"/>
          <w:sz w:val="11"/>
          <w:szCs w:val="11"/>
          <w:color w:val="auto"/>
        </w:rPr>
        <w:t>®</w:t>
      </w:r>
      <w:r>
        <w:rPr>
          <w:rFonts w:ascii="Arial" w:cs="Arial" w:eastAsia="Arial" w:hAnsi="Arial"/>
          <w:sz w:val="18"/>
          <w:szCs w:val="18"/>
          <w:color w:val="auto"/>
        </w:rPr>
        <w:t xml:space="preserve"> systems incorporate our PowerModule™ technology.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Since our inception, we have served more than 10 Wind customers, including Doosan Heavy Industries, Hyundai Heavy Industries, Inox Wind, Shenyang Blower Works, XJ Group and JCNE. During this period we have also served over 100 Grid customers, including Alliant Energy, Areva, Basin Electric, Keys Energy, Long Island Power Authority and TransCanada.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manufacturing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facilities and their primary functions are as follows:</w:t>
      </w:r>
    </w:p>
    <w:p>
      <w:pPr>
        <w:spacing w:after="0" w:line="63"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Devens, Massachusetts — Corporate headquarters and superconductors research, development and manufacturing</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Berlin, Wisconsin — Power electronics and controls research and development</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Middleton, Wisconsin — D-VAR system manufacturing</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Klagenfurt, Austria — Wind turbine engineering</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Suzhou, China — PowerModule power converter manufacturing</w:t>
      </w:r>
    </w:p>
    <w:p>
      <w:pPr>
        <w:spacing w:after="0" w:line="90" w:lineRule="exact"/>
        <w:rPr>
          <w:sz w:val="20"/>
          <w:szCs w:val="20"/>
          <w:color w:val="auto"/>
        </w:rPr>
      </w:pPr>
    </w:p>
    <w:p>
      <w:pPr>
        <w:ind w:right="1380" w:firstLine="456"/>
        <w:spacing w:after="0" w:line="391" w:lineRule="auto"/>
        <w:rPr>
          <w:sz w:val="20"/>
          <w:szCs w:val="20"/>
          <w:color w:val="auto"/>
        </w:rPr>
      </w:pPr>
      <w:r>
        <w:rPr>
          <w:rFonts w:ascii="Arial" w:cs="Arial" w:eastAsia="Arial" w:hAnsi="Arial"/>
          <w:sz w:val="18"/>
          <w:szCs w:val="18"/>
          <w:color w:val="auto"/>
        </w:rPr>
        <w:t xml:space="preserve">Our global footprint also includes sales and field service offices in the Australia, Germany, India, South Korea and the United Kingdom. </w:t>
      </w:r>
      <w:r>
        <w:rPr>
          <w:rFonts w:ascii="Arial" w:cs="Arial" w:eastAsia="Arial" w:hAnsi="Arial"/>
          <w:sz w:val="18"/>
          <w:szCs w:val="18"/>
          <w:b w:val="1"/>
          <w:bCs w:val="1"/>
          <w:color w:val="auto"/>
        </w:rPr>
        <w:t>Sales and marketing</w:t>
      </w:r>
    </w:p>
    <w:p>
      <w:pPr>
        <w:spacing w:after="0" w:line="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strategy is to serve customers locally in our core target markets through a direct sales force operating out of sales offices worldwide.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fiscal year 2011 two customers, Inox Wind and Doosan Heavy Industries, accounted for approximately 18% and 11%, respectively, of our total revenues. We generated no revenue from Sinovel in fiscal year 2011. However, Sinovel represented approximately 68% and 70% of our total revenue for fiscal years 2010 and 2009, respectively, and was the only customer accounting for more than 10% of our total revenue for those fiscal years. See Item 7, “Management’s Discussion and Analysis of Financial Condition and Results of Operations,” for further discussion of the Sinovel customer relationship.</w:t>
      </w:r>
    </w:p>
    <w:p>
      <w:pPr>
        <w:spacing w:after="0" w:line="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The portion of total revenue recognized from customers located outside the United States was 72%, 93% and 87% for fiscal years 2011, 2010 and 2009, respectively. Of the revenue recognized from customers outside the United States, we recognized 31%, 82% and 88% from customers in China in fiscal years 2011, 2010 and 2009, respectively. For additional financial information, see the notes to consolidated financial statements included herein, including Note 16, “Business Segment and Geographic Information,” regarding our business segments.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had backlog at March 31, 2012 of approximately $291.5 million from government and commercial customers, compared to $228.4 million at March 31, 2011. Backlog represents the value of contracts and purchase orders received less the revenue recognized to date on those contracts and purchase orders. Of our $291.5 million in backlog as of March 31, 2012, approximately 34% is scheduled for shipment to our customers during fiscal 2012 based on contractually agreed-upon terms.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Wind</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face competition for the supply of wind turbine engineering design services from design engineering firms such as GL Garrad Hassan, and from licensors of wind turbine systems such as Aerodyn, AventisEnergy and Fuhrlander.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face competition from companies offering power electronic converters for use in applications for which we expect to sell our PowerModule™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companies include ABB, Semikron, Vacon and Xantrex (a subsidiary of Schneider Electric).</w:t>
      </w:r>
    </w:p>
    <w:p>
      <w:pPr>
        <w:spacing w:after="0" w:line="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face competition from companies offering various types of wind turbine electrical system components, which include ABB, Converteam, Guotong Electric, Ingeteam, Mita-Teknik, Woodward and Xantrex. We also face indirect competition in the wind energy market from global manufacturers of wind energy systems, such as Gamesa, General Electric, Suzlon and Vestas.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Grid</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face competition from other companies offering FACTS systems similar to our D-VAR</w:t>
      </w:r>
      <w:r>
        <w:rPr>
          <w:rFonts w:ascii="Arial" w:cs="Arial" w:eastAsia="Arial" w:hAnsi="Arial"/>
          <w:sz w:val="10"/>
          <w:szCs w:val="10"/>
          <w:color w:val="auto"/>
        </w:rPr>
        <w:t>®</w:t>
      </w:r>
      <w:r>
        <w:rPr>
          <w:rFonts w:ascii="Arial" w:cs="Arial" w:eastAsia="Arial" w:hAnsi="Arial"/>
          <w:sz w:val="16"/>
          <w:szCs w:val="16"/>
          <w:color w:val="auto"/>
        </w:rPr>
        <w:t xml:space="preserve"> and Static Var Compensator, (“SVC”) solutions. These include SVCs from ABB, Alstrom, AREVA, Mitsubishi Electric and Siemens; adaptive VAR compensators and STATCOMs produced by S&amp;C Electric; DVRs produced by companies such as ABB and S&amp;C Electric; and flywheels and battery-based UPS systems offered by various companies around the world.</w:t>
      </w:r>
    </w:p>
    <w:p>
      <w:pPr>
        <w:spacing w:after="0" w:line="2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face competition both from vendors of traditional wires made from materials such as copper and from companies who are developing HTS wires. We also face competition for our Amperium™ wire from a number of companies in the United States and abroad who are developing 2G HTS wire technology. These include Innova, MetOx, Superconductor Technologies and Superpower (a subsidiary of Furukawa) in the United States; Fujikura, Showa and Sumitomo in Japan; SuNAM in South Korea; and Bruker, evico GmbH and Nexans in Europe. Certain companies, including evico GmbH, Nexans, Showa and Sumitomo Electric, have been focusing their research programs more recently on the development of 2G HTS wire made by the same or similar processes we have chosen to use to manufacture our Amperium™ wire.</w:t>
      </w:r>
    </w:p>
    <w:p>
      <w:pPr>
        <w:spacing w:after="0" w:line="6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and we believe that we have significantly strengthened our position in the past several years. As of March 31, 2012, we owned (either solely or jointly) more than 125 U.S. patents and more than 30 U.S. patent applications on file. We also hold licenses from third parties covering more than 100 issued U.S. patents and patent applications. Together with the international counterparts of each of these patents and patent applications, we own more than 600 patents and patent applications worldwide, and have rights through exclusive and non-exclusive licenses to more than 270 additional patents and patent applications. We believe that our current patent position, together with our expected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3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applications as necessary. If companies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related to HTS wire from a number of such organizations with royalties we consider reasonable. Based on historical experience, we expect that we will be able to obtain other necessary licenses on commercially reasonable terms. However, we cannot assure you that we will be able to obtain all necessary licenses from competitors on commercially reasonable terms, or at all.</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62" w:lineRule="exact"/>
        <w:rPr>
          <w:sz w:val="20"/>
          <w:szCs w:val="20"/>
          <w:color w:val="auto"/>
        </w:rPr>
      </w:pPr>
    </w:p>
    <w:p>
      <w:pPr>
        <w:ind w:left="240" w:right="1600" w:firstLine="228"/>
        <w:spacing w:after="0" w:line="391" w:lineRule="auto"/>
        <w:rPr>
          <w:sz w:val="20"/>
          <w:szCs w:val="20"/>
          <w:color w:val="auto"/>
        </w:rPr>
      </w:pPr>
      <w:r>
        <w:rPr>
          <w:rFonts w:ascii="Arial" w:cs="Arial" w:eastAsia="Arial" w:hAnsi="Arial"/>
          <w:sz w:val="18"/>
          <w:szCs w:val="18"/>
          <w:color w:val="auto"/>
        </w:rPr>
        <w:t xml:space="preserve">There are no patents that we own or license expiring during fiscal 2012 that we consider material to our business or competitiveness. </w:t>
      </w:r>
      <w:r>
        <w:rPr>
          <w:rFonts w:ascii="Arial" w:cs="Arial" w:eastAsia="Arial" w:hAnsi="Arial"/>
          <w:sz w:val="18"/>
          <w:szCs w:val="18"/>
          <w:b w:val="1"/>
          <w:bCs w:val="1"/>
          <w:i w:val="1"/>
          <w:iCs w:val="1"/>
          <w:color w:val="auto"/>
        </w:rPr>
        <w:t>Wind and Grid Patents</w:t>
      </w:r>
    </w:p>
    <w:p>
      <w:pPr>
        <w:spacing w:after="0" w:line="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have received patents and filed a significant number of additional patent applications on power quality and reliability systems, including our D-VAR</w:t>
      </w:r>
      <w:r>
        <w:rPr>
          <w:rFonts w:ascii="Arial" w:cs="Arial" w:eastAsia="Arial" w:hAnsi="Arial"/>
          <w:sz w:val="11"/>
          <w:szCs w:val="11"/>
          <w:color w:val="auto"/>
        </w:rPr>
        <w:t>®</w:t>
      </w:r>
      <w:r>
        <w:rPr>
          <w:rFonts w:ascii="Arial" w:cs="Arial" w:eastAsia="Arial" w:hAnsi="Arial"/>
          <w:sz w:val="18"/>
          <w:szCs w:val="18"/>
          <w:color w:val="auto"/>
        </w:rPr>
        <w:t xml:space="preserve"> system. Our products are covered by more than 100 patents and patents pending worldwide on both our systems and power converter products. The patents and applications focus on inventions that significantly improve product performance and reduce product costs, thereby providing a competitive advantage. One invention of note allows for a reduction in the number of power inverters required in the system by optimally running the inverters in overload mode, thereby significantly reducing overall system costs. Another important invention uses inverters to offset transients due to capacitor bank switching, which provides improved system performance.</w:t>
      </w:r>
    </w:p>
    <w:p>
      <w:pPr>
        <w:spacing w:after="0" w:line="6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Under our Windtec Solutions brand, we design a variety of wind turbine systems and license these designs, including expertise and patent rights, to third parties for an upfront fee. Our wind turbine designs are covered by more than 100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3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recognize the importance of IP protection in China and believe that China is steadily moving toward recognizing and acting in accordance with international norms for IP. As such, we have incorporated China in our patent strategy for all of our various products. Nevertheless, we recognize that the risk of IP piracy is still higher in China than in most other industrialized countries, and so we are careful to limit the technology we provide through our product sales and other expansion plans in China. While we take the steps necessary to ensure the safety of our IP, we cannot assure you that these measures will be fully successful. For example, see Part I, Item 3, “Legal Proceedings,” for more information regarding legal proceedings that we have initiated against Sinovel alleging the illegal use of our intellectual property.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HTS Patents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AMSC has acquired exclusive rights (through 2017) to a fundamental U.S. patent (U.S. 8,060,169 B1)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covering (2G) and similar (HTS) wire and applications. However, we may have to obtain additional licenses to HTS materials.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Alcatel-Lucent on the YBCO material, and (ii) the University of Tennessee/Battelle for the RABiTS</w:t>
      </w:r>
      <w:r>
        <w:rPr>
          <w:rFonts w:ascii="Arial" w:cs="Arial" w:eastAsia="Arial" w:hAnsi="Arial"/>
          <w:sz w:val="11"/>
          <w:szCs w:val="11"/>
          <w:color w:val="auto"/>
        </w:rPr>
        <w:t>®</w:t>
      </w:r>
      <w:r>
        <w:rPr>
          <w:rFonts w:ascii="Arial" w:cs="Arial" w:eastAsia="Arial" w:hAnsi="Arial"/>
          <w:sz w:val="18"/>
          <w:szCs w:val="18"/>
          <w:color w:val="auto"/>
        </w:rPr>
        <w:t xml:space="preserve"> process we use for the substrate and buffer layers for this technology. If alternative processes become more promising in the future, we will also seek to develop a proprietary position in these alternative processes.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a significant number of patents and patents pending covering applications of HTS wire, such as HTS fault current limiters, FaultBlocker™ technology (including both HTS power cables and fault current limiting capability) and HTS rotating machines. Since the superconductor rotating machine and FaultBlocker™ applications are relatively new, we are building a particularly strong patent position in these areas. At present, we believe we have the world’s broadest and most fundamental patent position in superconductor rotating machines technology. We have also filed a series of patents on our concept for our proprietary FaultBlocker™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Secrets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assure you that these measures will prevent the unauthorized disclosure or use of that information. For example, see Part I, Item 3, “Legal Proceedings,” for more information regarding legal proceedings that we have initiated against Sinovel alleging the illegal use of our intellectual property. In addition, we cannot assure you that others, including our competitors, will not independently develop the same or comparable technology that is one of our trade secrets.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2012, we employed 446 persons, 21 of whom have a Ph.D. in materials science, physics or other fields. None of our employees is represented by a labor union. Retaining our key employees is important for achieving our goals, and we are committed to developing a working environment that motivates and rewards our employees.</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August 2011, we initiated a restructuring plan to reorganize global operations, streamline various functions of the business, and reduce our global workforce to match the demand for our products. A further restructuring action was undertaken in November 2011. From April 1, 2011 through March 31, 2012, we have reduced our global workforce by approximately 50%, which is expected to result in annual savings of approximately $50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file reports, proxy statements and other documents with the Securities and Exchange Commission (the “SEC”).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www.sec.gov.</w:t>
      </w:r>
    </w:p>
    <w:p>
      <w:pPr>
        <w:spacing w:after="0" w:line="2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document. We make available free of charge through our web site our annual reports on Form 10-K, quarterly reports on Form 10-Q, current reports on Form 8-K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amendments to these reports filed or furnished pursuant to Section 13(a) or 15(d) of the Exchange Act, as soon as reasonably practicable after we electronically file such materials with, or furnish such materials to, the SEC.</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intend to disclose on our website any amendments to, or waivers of, our Code of Business Conduct and Ethics that are required to be disclosed pursuant to the SEC rules.</w:t>
      </w:r>
    </w:p>
    <w:p>
      <w:pPr>
        <w:spacing w:after="0" w:line="20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and biographical summaries set forth below contain information with respect to our executive officers as of the date of this filing:</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0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286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800" w:type="dxa"/>
            <w:vAlign w:val="bottom"/>
          </w:tcPr>
          <w:p>
            <w:pPr>
              <w:spacing w:after="0"/>
              <w:rPr>
                <w:sz w:val="15"/>
                <w:szCs w:val="15"/>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Daniel P. McGahn</w:t>
            </w:r>
          </w:p>
        </w:tc>
        <w:tc>
          <w:tcPr>
            <w:tcW w:w="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78"/>
              </w:rPr>
              <w:t>40</w:t>
            </w:r>
          </w:p>
        </w:tc>
        <w:tc>
          <w:tcPr>
            <w:tcW w:w="6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David A. Henry</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9"/>
              </w:rPr>
              <w:t>50</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0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D. Poor</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45</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Executive Vice President, Sales, Business Development and</w:t>
            </w:r>
          </w:p>
        </w:tc>
      </w:tr>
      <w:tr>
        <w:trPr>
          <w:trHeight w:val="224"/>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Wind Segment</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Susan J. DiCecco</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9"/>
              </w:rPr>
              <w:t>60</w:t>
            </w: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Senior Vice President, Corporate Administration</w:t>
            </w:r>
          </w:p>
        </w:tc>
      </w:tr>
      <w:tr>
        <w:trPr>
          <w:trHeight w:val="20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Maguire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56</w:t>
            </w: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Executive Vice President, Projects, Engineering &amp; Grid</w:t>
            </w:r>
          </w:p>
        </w:tc>
      </w:tr>
      <w:tr>
        <w:trPr>
          <w:trHeight w:val="224"/>
        </w:trPr>
        <w:tc>
          <w:tcPr>
            <w:tcW w:w="3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Segment</w:t>
            </w:r>
          </w:p>
        </w:tc>
      </w:tr>
    </w:tbl>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Daniel P. McGahn </w:t>
      </w:r>
      <w:r>
        <w:rPr>
          <w:rFonts w:ascii="Arial" w:cs="Arial" w:eastAsia="Arial" w:hAnsi="Arial"/>
          <w:sz w:val="18"/>
          <w:szCs w:val="18"/>
          <w:color w:val="auto"/>
        </w:rPr>
        <w:t>joined us in December 2006 and has been chief executive officer and a member of our board of directors since June 2011. He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David A. Henry </w:t>
      </w:r>
      <w:r>
        <w:rPr>
          <w:rFonts w:ascii="Arial" w:cs="Arial" w:eastAsia="Arial" w:hAnsi="Arial"/>
          <w:sz w:val="16"/>
          <w:szCs w:val="16"/>
          <w:color w:val="auto"/>
        </w:rPr>
        <w:t>joined us in July 2007 as senior vice president, chief financial officer and treasurer. He previously served as chief financial officer of AMIS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Inc., the parent 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at Fairchild Semiconductor International in August 1999.</w:t>
      </w:r>
    </w:p>
    <w:p>
      <w:pPr>
        <w:spacing w:after="0" w:line="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Timothy D. Poor </w:t>
      </w:r>
      <w:r>
        <w:rPr>
          <w:rFonts w:ascii="Arial" w:cs="Arial" w:eastAsia="Arial" w:hAnsi="Arial"/>
          <w:sz w:val="16"/>
          <w:szCs w:val="16"/>
          <w:color w:val="auto"/>
        </w:rPr>
        <w:t>joined us in September 2001 and served as senior vice president, global sales and business development, responsible for our global sales,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development and marketing from March 2008 until May 2011, when he was appointed executive vice president, sales, business development and wind segment. From May 2007 to March 2008, Mr. Poor was the vice president and deputy general manager of our Wind business unit. From September 2001 to May of 2007, Mr. Poor held the position of director, Wind sales &amp; business development. He was promoted to managing director in March 2006. Prior to joining our company, Mr. Poor worked at General Electric (“GE”) in the GE Industrial Systems division for seven years in various sales, six sigma, and sales management positions. Prior to GE, Mr. Poor was an engineering consultant at Arthur Andersen &amp; Company.</w:t>
      </w:r>
    </w:p>
    <w:p>
      <w:pPr>
        <w:spacing w:after="0" w:line="3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Susan J. DiCecco </w:t>
      </w:r>
      <w:r>
        <w:rPr>
          <w:rFonts w:ascii="Arial" w:cs="Arial" w:eastAsia="Arial" w:hAnsi="Arial"/>
          <w:sz w:val="18"/>
          <w:szCs w:val="18"/>
          <w:color w:val="auto"/>
        </w:rPr>
        <w:t>was appointed senior vice president, corporate administration in May 2011, having served as vice president, corporate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since August 2009 and is responsible for worldwide human resources, information technologies and environmental health and safety. Mrs. DiCecco joined us in 2000 and was named vice president of human resources in 2006. Previously, Mrs. DiCecco held a number of human resources and operational positions at W.A.Wilde Company, Kidde Fenwal Company and General Motors among others.</w:t>
      </w:r>
    </w:p>
    <w:p>
      <w:pPr>
        <w:spacing w:after="0" w:line="6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James F. Maguire </w:t>
      </w:r>
      <w:r>
        <w:rPr>
          <w:rFonts w:ascii="Arial" w:cs="Arial" w:eastAsia="Arial" w:hAnsi="Arial"/>
          <w:sz w:val="16"/>
          <w:szCs w:val="16"/>
          <w:color w:val="auto"/>
        </w:rPr>
        <w:t>joined us in 1997 and served as Vice President of our Superconductor Projects from March 2007 to March 2010, as our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Projects &amp; Engineering from April 2010 to August 2011 and, since August 2011 has been responsible for leading our Grid business unit as well as our Global Engineering, Projects, and Service groups. In May 2011 he was promoted to Executive Vice President. Prior to joining AMSC, Mr. Maguire was founder and president of Applied Engineering Technologies, Ltd., a cryogenics product based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in addressing the wind energy market is dependent on the manufacturers that license our designs.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realize all of the sales expected from our backlog of orders and contracts.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Although we have generally reported significant backlog, we cannot assure you that we will realize the revenue we expect to generate from this backlog in the periods we expect to realize such revenue, or at all. For example, on March 31, 2011, Sinovel refused to accept contracted shipments of 1.5 MW and 3 MW wind turbine core electrical components and spare parts that we were prepared to deliver. We have outstanding payments due from Sinovel for products and services delivered, not including value added taxes, of $62.0 million which have not yet been reported as revenue or accounts receivable. We have initiated arbitration and civil proceedings against Sinovel and we have submitted evidence of criminal acts by Sinovel to the Chinese authorities in order to initiate criminal proceedings. As a result, Sinovel may not accept any further shipments or pay for any past shipments. For more information about these legal proceedings, see Part I, Item 3, “Legal Proceedings.”</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3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and operations would be adversely impacted in the event of a failure or security breach of our information technology infrastructure.</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rely upon the capacity, reliability, and security of our information technology hardware and software infrastructure and our ability to expand and update this infrastructure in response to our changing needs. We are constantly updating our information technology infrastructure. Any failure to manage, expand, and update our information technology infrastructure or any failure in the operation of this infrastructure could harm our business.</w:t>
      </w:r>
    </w:p>
    <w:p>
      <w:pPr>
        <w:spacing w:after="0" w:line="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Despite our implementation of security measures, our systems are vulnerable to damages from computer viruses, natural disasters, unauthorized access, and other similar disruptions. Our business is also subject to break-ins, sabotage, and intentional acts of vandalism by third parties as well as employees. Our significant business activities in China may increase our risks to such breaches. For example, a former employee of our Austrian subsidiary pled guilty in September 2011 to charges of economic espionage and fraudulent manipulation of data. The evidence presented during the trial showed that this former employee was contracted by Sinovel through an intermediary while employed by us and improperly obtained and transferred to Sinovel portions of our wind turbine control software source code developed for Sinovel’s 1.5MW wind turbines. Moreover, the evidence shows that this former employee illegally used source code to develop for Sinovel a software modification to circumvent the encryption and remove technical protection measures on the PM3000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power converters in 1.5MW wind turbines in the field. Any system failure, accident, or security breach could result in disruptions to our operations. To the extent that any disruption or security breach results in a loss or damage to our data, or inappropriate disclosure of confidential information, it could harm our business. In addition, we may be required to incur significant costs to protect against damage caused by these disruptions or security breaches in the future.</w:t>
      </w:r>
    </w:p>
    <w:p>
      <w:pPr>
        <w:spacing w:after="0" w:line="107"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51"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ind w:right="100" w:firstLine="456"/>
        <w:spacing w:after="0" w:line="256" w:lineRule="auto"/>
        <w:rPr>
          <w:sz w:val="20"/>
          <w:szCs w:val="20"/>
          <w:color w:val="auto"/>
        </w:rPr>
      </w:pPr>
      <w:r>
        <w:rPr>
          <w:rFonts w:ascii="Arial" w:cs="Arial" w:eastAsia="Arial" w:hAnsi="Arial"/>
          <w:sz w:val="18"/>
          <w:szCs w:val="18"/>
          <w:color w:val="auto"/>
        </w:rPr>
        <w:t>Hiring and retaining good personnel for our business is challenging, and highly qualified technical personnel are likely to remain a limited resource for the foreseeable future despite current economic conditions and high unemployment levels. We may not be able to hire the necessary personnel to implement our business strategy, or we may need to provide higher compensation or more training to our personnel than we currently anticipate. Moreover, any officer or employee can terminate his or her relationship with us at any time.</w:t>
      </w:r>
    </w:p>
    <w:p>
      <w:pPr>
        <w:spacing w:after="0" w:line="6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fiscal 2011, we reduced our global workforce by approximately 50% in order to lower expenses, reorganize our global operations, and streamline various functions of the business, to match the demand for our products. Employee retention may be a particularly challenging issue following reductions in workforce and organizational changes since we also must continue to motivate employees and keep them focused on our strategies and goals. If we lose the services of any key personnel, our business, results of operations and financial condition could be materially adversely affected.</w:t>
      </w:r>
    </w:p>
    <w:p>
      <w:pPr>
        <w:spacing w:after="0" w:line="113"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We rely upon third-party suppliers for the components and subassemblies of many of our Wind and Grid products, making us vulnerable to supply shortages and price fluctuations, which could harm our business.</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2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are producing certain Wind products in our manufacturing facility in China. 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Many of our revenue opportunities are dependent upon subcontractors and other business collaborators.</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financial performance could be harmed.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products, pursuing overseas markets, anticipating customer needs in the development of system-level solutions, strengthening our technology leadership while lowering cost and pursuing targeted strategic alliances.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3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risk is magnified by the current substantial uncertainty in our business, particularly as it relates to the ongoing arbitration and civil proceedings with Sinovel and our ability to raise additional funds all of which is diverting management’s attention from operating our business. Management has and is continuing to invest considerable time addressing these issues, which has been a substantial diversion of management’s attention and could lead to disruptions in operations and delay in the implementation of our strategy, all of which could negatively impact our business and results of operations.</w:t>
      </w:r>
    </w:p>
    <w:p>
      <w:pPr>
        <w:spacing w:after="0" w:line="3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ability to address the disruption in our relationship with Sinovel or implement our business strategy could also be affected by a number of factors beyond our control, such as increased competition, legal developments, government regulation, general economic conditions or increased operating costs or expenses.</w:t>
      </w:r>
    </w:p>
    <w:p>
      <w:pPr>
        <w:spacing w:after="0" w:line="140"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Consistent with customary practice in our industry, we warrant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Furthermore, widespread product failures may damage our market reputation and reduce our market share and cause sales to decline.</w:t>
      </w:r>
    </w:p>
    <w:p>
      <w:pPr>
        <w:spacing w:after="0" w:line="116" w:lineRule="exact"/>
        <w:rPr>
          <w:sz w:val="20"/>
          <w:szCs w:val="20"/>
          <w:color w:val="auto"/>
        </w:rPr>
      </w:pPr>
    </w:p>
    <w:p>
      <w:pPr>
        <w:jc w:val="both"/>
        <w:ind w:left="240" w:right="180"/>
        <w:spacing w:after="0" w:line="259" w:lineRule="auto"/>
        <w:rPr>
          <w:sz w:val="20"/>
          <w:szCs w:val="20"/>
          <w:color w:val="auto"/>
        </w:rPr>
      </w:pPr>
      <w:r>
        <w:rPr>
          <w:rFonts w:ascii="Arial" w:cs="Arial" w:eastAsia="Arial" w:hAnsi="Arial"/>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5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certain rights to the intellectual property that we develop under the contract;</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debar us from doing business with the government or a specific government agency;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pursue criminal or civil remedies under the False Claims Act, False Statements Act and similar remedy provisions unique to government contracting.</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23"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prior acquisitions required substantial integration and management efforts. As a result of any acquisition we pursue, management’s attention and resources may be diverted from our other businesses. An acquisition may also involve the payment of a significant purchase price, which could reduce our cash position or dilute our stockholders, and require significant transaction-related expenses.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9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management or other key personnel that may harm relationships with the acquired business’s customers and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liabilities of the acquired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and employees’ attention from other business matters as a result of the integration process;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mistaken assumptions about volumes, revenue and costs, including synergies;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 used to finance the acquisition;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difficulties operating in new product areas, with new customers, or in new geographic areas.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cannot assure you that we will realize any of the anticipated benefits of any acquisition, and if we fail to realize these anticipated benefits, our operating performance could suffer.</w:t>
      </w:r>
    </w:p>
    <w:p>
      <w:pPr>
        <w:spacing w:after="0" w:line="132" w:lineRule="exact"/>
        <w:rPr>
          <w:sz w:val="20"/>
          <w:szCs w:val="20"/>
          <w:color w:val="auto"/>
        </w:rPr>
      </w:pPr>
    </w:p>
    <w:p>
      <w:pPr>
        <w:ind w:left="240" w:right="20"/>
        <w:spacing w:after="0" w:line="332" w:lineRule="auto"/>
        <w:rPr>
          <w:sz w:val="20"/>
          <w:szCs w:val="20"/>
          <w:color w:val="auto"/>
        </w:rPr>
      </w:pPr>
      <w:r>
        <w:rPr>
          <w:rFonts w:ascii="Arial" w:cs="Arial" w:eastAsia="Arial" w:hAnsi="Arial"/>
          <w:sz w:val="16"/>
          <w:szCs w:val="16"/>
          <w:b w:val="1"/>
          <w:bCs w:val="1"/>
          <w:i w:val="1"/>
          <w:iCs w:val="1"/>
          <w:color w:val="auto"/>
        </w:rPr>
        <w:t>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w:t>
      </w:r>
    </w:p>
    <w:p>
      <w:pPr>
        <w:spacing w:after="0" w:line="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43"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have limited experience in marketing and selling our superconductor products and system-level solutions, and our failure to effectively market and sell our products and solutions could lower our revenue and cash flow.</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3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decide to enter into arrangements with third parties for the marketing or distribution of our products, including arrangements in which our products, such as Amperium wire, are included as a component of a larger product, such as a power cable system or a wind turbine generator. By entering into marketing and sales alliances, the financial benefits to us of commercializing our products are dependent on the efforts of others.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w:t>
      </w:r>
    </w:p>
    <w:p>
      <w:pPr>
        <w:spacing w:after="0" w:line="96"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and we may incur additional losses in the future. Our operating results may fluctuate significantly from quarter to quarter and may fall below expectations in any particular fiscal quarter.</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While we achieved profitable results in fiscal 2009, we recorded a net loss in fiscal 2010 and fiscal 2011, and we are unlikely to be profitable in fiscal 2012. We cannot be certain that we will regain profitability in the future. We incurred net losses in each year since our inception through fiscal 2008, driven primarily by the research and development activities in what was formerly our AMSC Superconductors business segment.</w:t>
      </w:r>
    </w:p>
    <w:p>
      <w:pPr>
        <w:spacing w:after="0" w:line="2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 is currently substantial uncertainty in our business, particularly given the disruption to our relationship with Sinovel and the associated loss of revenue,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If our revenue or operating results fall below the expectations of investors or any securities analysts that follow our company in any period, the trading price of our common stock would likely decline.</w:t>
      </w:r>
    </w:p>
    <w:p>
      <w:pPr>
        <w:spacing w:after="0" w:line="6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require additional funding in the future and may be unable to raise capital when needed.</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of March 31, 2012, we had approximately $66.2 million of cash, cash equivalents, marketable securities and restricted cash. We have experienced a substantial decline in revenues and incurred a net loss of $136.8 million for the fiscal year ended March 31, 2012. At March 31, 2012, we had accrued liabilities related to adverse purchase commitments for inventory totaling $25.9 million. During fiscal 2011, we reduced our global workforce by approximately 50%, which is expected to result in annual savings of approximately $50 million. Our cost reduction efforts and anticipated revenue growth are expected to result in a substantial reduction in cash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used for operations during the fiscal year ended March 31, 2013. We plan to continue to closely monitor our expenses and if required, will further reduce operating costs and capital spending to enhance liquidity. We are working with our inventory suppliers to delay cash settlements and reduce the gross liability associated with our adverse purchase commitments. During the quarter ending June 30, 2012, we completed a private placement of $25 million of 7% senior convertible notes and a $10 million senior secured term loan. See Item 8. Financial Statements and Supplementary Data—Note 18, “Subsequent Events” of our consolidated financial statements for further information regarding these new debt obligations. We may seek additional financing; however, there can be no assurance that financing will be available on commercially acceptable terms or at all. Moreover, our new 7% senior convertible note in particular restricts our ability to obtain additional financing. Our liquidity is highly dependent on our ability to profitably grow our revenues, successfully manage our adverse purchase commitments, fund monthly obligations on the convertible notes and raise additional capital as required.</w:t>
      </w:r>
    </w:p>
    <w:p>
      <w:pPr>
        <w:spacing w:after="0" w:line="118"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b w:val="1"/>
          <w:bCs w:val="1"/>
          <w:i w:val="1"/>
          <w:iCs w:val="1"/>
          <w:color w:val="auto"/>
        </w:rPr>
        <w:t>Our new debt obligations include certain covenants and other events of default. Should we not comply with the covenants or incur an event of default, we may be required to repay our debt obligations in cash, which could have an adverse effect on our liquidity.</w:t>
      </w:r>
    </w:p>
    <w:p>
      <w:pPr>
        <w:spacing w:after="0" w:line="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quarter ending June 30, 2012, we sold $25 million of 7% convertible notes and entered into a $10 million senior secured term loan. See Item 8. Financial Statements and Supplementary Data — Note 18, “Subsequent Events” of our consolidated financial statements for further information regarding these new debt obligations. These new debt obligations include certain financial and administrative covenants, including a requirement in the term loan to maintain a minimum unrestricted U.S. cash balance equal to the outstanding principal of the loan. There are other events of default in the new debt obligations, including with respect to the convertible notes the suspension from trading or the failure of our common stock to be traded or listed on certain defined markets and the rendering of certain uninsured judgments against us, as well as cross defaults between the convertible note and the term loan.</w:t>
      </w:r>
    </w:p>
    <w:p>
      <w:pPr>
        <w:spacing w:after="0" w:line="3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we fail to stay in compliance with our covenants or suffer some other event of default of either the convertible note or the term loan, we may be required to repay the outstanding principal of one or both of our debt obligations. In the case of the convertible note, such an event of default would also include the requirement to pay a penalty as defined in the agreement. Should this occur, our liquidity would be adversely impacted.</w:t>
      </w:r>
    </w:p>
    <w:p>
      <w:pPr>
        <w:spacing w:after="0" w:line="107"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have recorded a liability for adverse purchase commitments with certain of our vendors. Should we be required to settle these liabilities in cash, our liquidity could be adversely affected.</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March 31, 2012, we have recorded a liability for $25.9 million in adverse purchase commitments. These purchase commitments are for the purchase of inventory associated with Sinovel for which there is little or no further demand. We are currently working with our suppliers to satisfy these liabilities in a manner and timing that does not jeopardize our long-term liquidity. During the quarter ending June 30, 2012, we settled several adverse purchase commitment liabilities with certain vendors. In conjunction with the settlements, we agreed to provide certain of our vendors with letters of credit and bank guarantees of approximately $9.0 million with expirations through January 31, 2013. The letters of credit and bank guarantees were secured with cash collateral of $8.5 million. Should our other suppliers demand immediate payment against these liabilities in cash or require security in the form of cash collateralized letter of credits, our liquidity could be adversely affected. Conversely, should our vendors accept payment from us in shares of our common stock, our liquidity would not be adversely impacted; however your ownership in our company would be diluted.</w:t>
      </w:r>
    </w:p>
    <w:p>
      <w:pPr>
        <w:spacing w:after="0" w:line="118"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 and may lead investors and other users to lose confidence in our financial data.</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Maintaining effective internal controls over financial reporting is necessary for us to produce reliable financial statements. In connection with the preparation of our financial statements for the fiscal year ended March 31, 2011, our management and our independent registered public accounting firm identified certain material weaknesses in our internal controls, which we remediated during the fourth quarter of the fiscal year ended March 31, 2012. While our management and our independent registered public accounting firm concluded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that our internal control over financial reporting was effective as of March 31, 2012, it is possible that material weaknesses may be identified in the future.</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note that a system of procedures and controls, no matter how well conceived and operated, can provide only reasonable, not absolute, assurance that the objectives of the control system are met. Because of the inherent limitations in all systems of procedures and controls, no evaluation can provide absolute assurance that all control issues, including instances of fraud, if any, have been detected. These inherent limitations include the realities that judgments in decision-making can be faulty, and breakdowns can occur because of simple errors or mistakes. Additionally, procedures and controls can be circumvented by the individual acts of some persons, by collusion of two or more people, or by management override. The design of any system of procedures and controls also is based in part upon certain assumptions about the likelihood of future events, and there can be no assurance that any design will succeed in achieving its stated goals under all potential future conditions. Over time, our systems of procedures and controls, as we further develop and enhance them, may become inadequate because of changes in conditions, or the degree of compliance with the policies or procedures may deteriorate. Because of the inherent limitations in a cost-effective system of procedures and controls, misstatements due to errors or fraud may occur and not be detected. Such misstatements could be material and require a restatement of our financial statements.</w:t>
      </w:r>
    </w:p>
    <w:p>
      <w:pPr>
        <w:spacing w:after="0" w:line="4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20"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of significant magnitude and some of our suppliers have asked us to provide letters of credit. In many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exchange rates could adversely affect our results from operations.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Currency exchange rate fluctuations could have an adverse effect on our revenues and results of operations, and we could experience losses with respect to hedging activities. In fiscal 2011, 72% of our revenues were recognized from sales outside the United States. Unfavorable currency fluctuations could require us to increase prices to foreign customers, which could result in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From time to time, we enter into derivative instruments, including forward foreign exchange contracts and currency options to reduce currency exposure arising from intercompany sales of inventory and exposures arising from the sale of products denominated in one currency while costs are denominated in another. However, we cannot be certain that our efforts will be adequate to protect us against significant currency fluctuations or that such efforts will not expose us to additional exchange rate risks.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Markets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of the wind energy market depends largely on the availability and size of government subsidies and economic incentives.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China, Japan and South Korea, and many of the states in Australia and the United States. Examples of government-sponsored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18"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b w:val="1"/>
          <w:bCs w:val="1"/>
          <w:i w:val="1"/>
          <w:iCs w:val="1"/>
          <w:color w:val="auto"/>
        </w:rPr>
        <w:t>We depend on sales to customers in China, and global conditions could negatively affect our operating results or limit our ability to expand our operations outside of China. Changes in China’s political, social, regulatory and economic environment may affect our financial performance.</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total revenues has been derived from customers in China. With respect to China, our financial performance may be affected by changes in China’s political, social, regulatory and economic environment. For example, new grid interconnection standards are being imposed in China, which has slowed the wind turbine installation growth rate at least temporarily. Such changes mean the Chinese wind market will be subject to substantial uncertainty, which may cause our customers to delay or cancel orders.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role of the Chinese central and local governments in the Chinese economy is significant. For example, the economy of the People’s Republic of China differs from the economies of most developed countries in many respects, including the:</w:t>
      </w:r>
    </w:p>
    <w:p>
      <w:pPr>
        <w:spacing w:after="0" w:line="5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level of government involvement;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early stage of development of the market-oriented sector of the economy;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rapid growth 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level of control over foreign exchange;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influence over the allocation of resources.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Chinese policies toward economic liberalization, and laws and policies affecting foreign companies, currency exchange rates and other matters could change, resulting in greater restrictions on our ability to do business in China. Any imposition of surcharges or any increase in Chinese tax rates could hurt our operating results. The Chinese government could revoke, terminate or suspend our license for national security and similar reasons without compensation to us. If the government of China were to take any of these actions, we would be prevented from conducting all or part of our business. Any failure on our part to comply with governmental regulations could result in the loss of our ability to market our products in China.</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 we may be impacted by issues with managing foreign sales operations, including long payment cycles, potential difficulties in accounts receivable collection and, especially from significant customers, fluctuations in the timing and amount of orders and the adverse effect of any of these issues on our business could be increased due to the concentration of our business with a small number of customers. The Chinese government has in the past restricted lending from banks to companies in China as a means to fight inflation, resulting in a limitation of access to credit. In addition, we believe that many of our customers in China have high levels of inventory and high accounts payable balances. Problems with collections from, or sales to, any one of those customers could reduce our revenue and harm our financial performance. Operations in foreign countries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including China also expose us to risks relating to difficulties in enforcing our proprietary rights, currency fluctuations and adverse or deteriorating economic conditions.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face intense competition, which could limit our ability to acquire or retain customers.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markets for our products are intensely competitive and 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Wind business faces competition for the supply of wind turbine engineering design services from design engineering firms such as GL Garrad Hassan, and from licensors of wind turbine systems such as Aerodyn, AventisEnergy and Fuhrlander.</w:t>
      </w:r>
    </w:p>
    <w:p>
      <w:pPr>
        <w:spacing w:after="0" w:line="5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Wind business also faces competition from companies offering power electronic converters for use in applications for which we expect to sell our PowerModule products. These companies include ABB, Semikron, Vacon and Xantrex (a subsidiary of Schneider Electric).</w:t>
      </w:r>
    </w:p>
    <w:p>
      <w:pPr>
        <w:spacing w:after="0" w:line="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Finally, our Wind business faces competition from companies offering wind turbine electrical system components, including ABB, Converteam, Guotong Electric, Ingeteam, Mita-Teknik, Woodward and Xantrex. We also face indirect competition in the wind energy market from global manufacturers of wind energy systems, such as Gamesa, General Electric, Suzlon and Vestas.</w:t>
      </w:r>
    </w:p>
    <w:p>
      <w:pPr>
        <w:spacing w:after="0" w:line="5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Grid business faces competition from companies offering FACTS systems similar to our D-VAR and SVC solutions. These include SVCs from ABB, Alstrom, AREVA, Mitsubishi Electric and Siemens; adaptive VAR compensators and STATCOMs produced by S&amp;C Electric; dynamic voltage restorers (“DVRs”) produced by companies such as ABB and S&amp;C Electric; and flywheels and battery-based UPS systems offered by various companies around the world.</w:t>
      </w:r>
    </w:p>
    <w:p>
      <w:pPr>
        <w:spacing w:after="0" w:line="2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Grid business also faces competition both from vendors of traditional wires made from materials such as copper and from companies who are developing HTS wires.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Finally, our Grid business faces competition for our Amperium wire from a number of companies in the United States and abroad who are developing 2G HTS wire technology. These include Innova, MetOx, Superconductor Technologies and Superpower (a subsidiary of Furukawa) in the United States; Fujikura, Showa and Sumitomo in Japan; SuNAM in South Korea; and Bruker, evico GmbH and Nexans in Europe. Certain companies, including evico GmbH, Nexans, Showa and Sumitomo Electric, have been focusing their research programs more recently on the development of 2G HTS wire made by the same or similar processes we have chosen to use to manufacture our Amperium wire.</w:t>
      </w:r>
    </w:p>
    <w:p>
      <w:pPr>
        <w:spacing w:after="0" w:line="3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international operations are subject to risks that we do not face in the United States, which could have an adverse effect on our operating results.</w:t>
      </w:r>
    </w:p>
    <w:p>
      <w:pPr>
        <w:spacing w:after="0" w:line="1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recent years, a substantial majority of our consolidated revenues were recognized from customers outside of the United States. For example, 72% of our revenues in fiscal 2011 and 93% of our revenues in fiscal 2010 were recognized from sales outside the United States. Our international operations are subject to a variety of risks that we do not face in the United States, including:</w:t>
      </w:r>
    </w:p>
    <w:p>
      <w:pPr>
        <w:spacing w:after="0" w:line="59" w:lineRule="exact"/>
        <w:rPr>
          <w:sz w:val="20"/>
          <w:szCs w:val="20"/>
          <w:color w:val="auto"/>
        </w:rPr>
      </w:pPr>
    </w:p>
    <w:p>
      <w:pPr>
        <w:jc w:val="center"/>
        <w:ind w:left="5620" w:right="140" w:hanging="5166"/>
        <w:spacing w:after="0" w:line="440"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 particularly from customers in China; 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2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5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reducing or eliminating our profits.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Adverse changes in domestic and global economic conditions could adversely affect our operating results.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become increasingly subject to the risks arising from adverse changes in domestic and global economic conditions. The state of both the domestic and global economies is uncertain due to the difficulty in obtaining credit, weak economic recovery, and financial market volatility. If credit continues to be difficult to obtain, some customers may delay or reduce purchases. This could result in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3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For example,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the Company’s Austrian subsidiary was arrested in Austria on charges of economic espionage and fraudulent manipulation of data. In September 2011, the former employee pled guilty to the charges, and was imprisoned. On September 13, 2011, we commenced a series of legal actions in China against Sinovel and other parties alleging the illegal use of our intellectual property. We cannot provide any assurance as to the outcome of these legal actions. This or future litigation with Sinovel could result in substantial costs and divert management’s attention and resources, which could have an adverse effect on our business, operating results and financial condition. In addition, such proceedings may make it more difficult to finance our operations. If we are unsuccessful in this litigation and fail to maintain adequate protection of this intellectual property, our competitive business position would be adversely affected. For more information about these legal proceedings, see Part I, Item 3, “Legal Proceedings.”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patents may not provide meaningful protection for our technology, which could result in us losing some or all of our market position.</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4"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9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5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commercial uses of superconductor products are limited today, and a widespread commercial market for our products may not develop.</w:t>
      </w:r>
    </w:p>
    <w:p>
      <w:pPr>
        <w:spacing w:after="0" w:line="11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use superconductor cables and products in their projects.</w:t>
      </w:r>
    </w:p>
    <w:p>
      <w:pPr>
        <w:spacing w:after="0" w:line="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It is possible that the market demands we currently anticipate for our Amperium products will not develop and that they will never achieve widespread commercial acceptance. In such event, we would not be able to implement our strategy, and our profits could be reduced or eliminated.</w:t>
      </w:r>
    </w:p>
    <w:p>
      <w:pPr>
        <w:spacing w:after="0" w:line="85" w:lineRule="exact"/>
        <w:rPr>
          <w:sz w:val="20"/>
          <w:szCs w:val="20"/>
          <w:color w:val="auto"/>
        </w:rPr>
      </w:pPr>
    </w:p>
    <w:p>
      <w:pPr>
        <w:ind w:left="240" w:right="40"/>
        <w:spacing w:after="0" w:line="357" w:lineRule="auto"/>
        <w:rPr>
          <w:sz w:val="20"/>
          <w:szCs w:val="20"/>
          <w:color w:val="auto"/>
        </w:rPr>
      </w:pPr>
      <w:r>
        <w:rPr>
          <w:rFonts w:ascii="Arial" w:cs="Arial" w:eastAsia="Arial" w:hAnsi="Arial"/>
          <w:sz w:val="15"/>
          <w:szCs w:val="15"/>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ind w:firstLine="456"/>
        <w:spacing w:after="0" w:line="253"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demonstration in the cable, fault current limiter and motor industries may be necessary before a substantial commercial market could develop.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147"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have not manufactured our Amperium wire in commercial quantities, and a failure to manufacture our Amperium wire in commercial quantities at acceptable cost and quality levels would substantially limit our future revenue and profit potential.</w:t>
      </w:r>
    </w:p>
    <w:p>
      <w:pPr>
        <w:spacing w:after="0" w:line="5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developing commercial-scale manufacturing processes for our Amperium wire, which are complex and challenging. In November 2007, we started initial production of our Amperium wire on a new manufacturing line that was designed for an annual capacity of 720,000 meters. However, in order to be able to offer our wire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pricing that we believe will be commercially competitive, we estimate that we will need to increase such capacity to millions of meters annually. We may not be able to manufacture satisfactory commercial quantities of Amperium wire of consistent quality with an acceptable yield and cost. Failure to successfully scale up manufacturing of our Amperium wire would result in a significant limitation of our ability to achieve broad market acceptance of our HTS products and of our future revenue and profit potential.</w:t>
      </w:r>
    </w:p>
    <w:p>
      <w:pPr>
        <w:spacing w:after="0" w:line="143" w:lineRule="exact"/>
        <w:rPr>
          <w:sz w:val="20"/>
          <w:szCs w:val="20"/>
          <w:color w:val="auto"/>
        </w:rPr>
      </w:pPr>
    </w:p>
    <w:p>
      <w:pPr>
        <w:ind w:left="240" w:right="560"/>
        <w:spacing w:after="0" w:line="332" w:lineRule="auto"/>
        <w:rPr>
          <w:sz w:val="20"/>
          <w:szCs w:val="20"/>
          <w:color w:val="auto"/>
        </w:rPr>
      </w:pPr>
      <w:r>
        <w:rPr>
          <w:rFonts w:ascii="Arial" w:cs="Arial" w:eastAsia="Arial" w:hAnsi="Arial"/>
          <w:sz w:val="16"/>
          <w:szCs w:val="16"/>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20"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Matters</w:t>
      </w:r>
    </w:p>
    <w:p>
      <w:pPr>
        <w:spacing w:after="0" w:line="96"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We have filed a demand for arbitration and other lawsuits against our former largest customer, Sinovel, regarding amounts we contend are overdue. We cannot be certain as to the outcome of these proceedings.</w:t>
      </w:r>
    </w:p>
    <w:p>
      <w:pPr>
        <w:spacing w:after="0" w:line="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31, 2011, Sinovel refused to accept contracted scheduled shipments with a revenue value of approximately $65.2 million. In addition, as of March 31, 2011, we had approximately $62.0 million of receivables (excluding value added tax) outstanding from Sinovel. We have not received payment from Sinovel for these outstanding receivables that are now past due, nor have we been notified as to when, if ever, they will accept contracted shipments that were scheduled for delivery after March 31, 2011. No payment has been received from Sinovel since early March 2011. Because Sinovel did not give us notice that it intended to delay deliveries as required under the contracts, we believe that these actions constitute material breaches of our contracts. Additionally, we believe that Sinovel illegally obtained and used our intellectual property in violation of civil and criminal intellectual property 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September 13, 2011, we filed a claim for arbitration against Sinovel in Beijing, China to compel Sinovel to pay us for past product shipments and to accept all contracted but not yet delivered core electrical components and spare parts under all existing contracts with us. In addition, we have filed civil complaints in China against Sinovel alleging the illegal use of our intellectual property. Sinovel has filed counterclaims against us with the Beijing Arbitration Commission for breach of the same contracts under which we filed our original arbitration claim. Sinovel claims, among other things, that the goods supplied by us do not conform to the standards specified in the contracts and has claimed net damages in the amount of approximately RMB 1.2 billion ($190 million). As the legal proceedings continue, we and Sinovel may identify additional amounts in dispute. We cannot provide any assurance as to the outcome of these legal actions or that, if we prevail, we ultimately will be able to collect any amounts awarded. Moreover, these legal proceedings could result in the incurrence of significant legal and related expenses, which may not be recoverable depending on the outcome of the litigation. An award by the arbitration panel or court in favor of Sinovel and/or the incurrence of significant legal fees that are not recoverable could adversely impact our operating results. For more information about these legal proceedings, see Part I, Item 3, “Legal Proceedings.”</w:t>
      </w:r>
    </w:p>
    <w:p>
      <w:pPr>
        <w:spacing w:after="0" w:line="123" w:lineRule="exact"/>
        <w:rPr>
          <w:sz w:val="20"/>
          <w:szCs w:val="20"/>
          <w:color w:val="auto"/>
        </w:rPr>
      </w:pPr>
    </w:p>
    <w:p>
      <w:pPr>
        <w:ind w:left="240" w:right="480"/>
        <w:spacing w:after="0" w:line="306" w:lineRule="auto"/>
        <w:rPr>
          <w:sz w:val="20"/>
          <w:szCs w:val="20"/>
          <w:color w:val="auto"/>
        </w:rPr>
      </w:pPr>
      <w:r>
        <w:rPr>
          <w:rFonts w:ascii="Arial" w:cs="Arial" w:eastAsia="Arial" w:hAnsi="Arial"/>
          <w:sz w:val="16"/>
          <w:szCs w:val="16"/>
          <w:b w:val="1"/>
          <w:bCs w:val="1"/>
          <w:i w:val="1"/>
          <w:iCs w:val="1"/>
          <w:color w:val="auto"/>
        </w:rPr>
        <w:t>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w:t>
      </w:r>
    </w:p>
    <w:p>
      <w:pPr>
        <w:spacing w:after="0" w:line="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number of purported class action lawsuits have been filed against us on behalf of certain purchasers of our common stock. The complaints generally include allegations that we violated federal securities laws by, among other things, knowingly making materially false and misleading statements and omitting important facts regarding our dealings with Sinovel, thereby artificially inflating the price of our common stock. The complaints seek monetary damages, costs, attorney’s fees and other equitable and injunctive relief. Securities class action suits and derivative suits are often brought against companies following periods of volatility in the market price of their securities. In addition, stockholder derivative actions have been initiated against us and certain of our directors and officers. These complaints purport to seek relief on behalf of the company to remedy alleged breaches of fiduciary duty and other misconduct by the defendants.</w:t>
      </w:r>
    </w:p>
    <w:p>
      <w:pPr>
        <w:spacing w:after="0" w:line="3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intend to defend these lawsuits vigorously. We cannot assure you, however, that we will be successful.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this current litigation or any future litigation could have material adverse effects on our business, operating results or financial condition. Even if the plaintiffs’ claims are not successful, this or future litigation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7% convertible note contains warrants and provisions that could limit our ability to repay the note in shares of common stock and should the note be repaid in stock, shareholders could experience significant dilution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April 4, 2012, we entered into a Securities Purchase Agreement with an affiliate of Heights Capital whereby we sold an aggregate of $25 million of unsecured senior convertible notes and a warrant to purchase 3,094,060 shares of common stock at $5.45 per share. Additionally, subject to the satisfaction of certain conditions, we have the right to require Heights to purchase an additional $15 million of unsecured senior convertible notes and a warrant to purchase additional shares of our common stock. The convertible notes contain a provision to allow us to repay the notes in shares of our common stock based on a price per share that is 85% of the market price at the time of each payment, as defined, subject to certain price and volume conditions. Repayment of the notes in shares of common stock could have an adverse effect on our stock price and would dilute your ownership of the company. Moreover, should the warrants be exercised, your ownership in our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company will be further diluted. Our liquidity may be adversely affected should we not meet the price and volume conditions under the notes and are required to repay the notes in cash.</w:t>
      </w:r>
    </w:p>
    <w:p>
      <w:pPr>
        <w:spacing w:after="0" w:line="132" w:lineRule="exact"/>
        <w:rPr>
          <w:sz w:val="20"/>
          <w:szCs w:val="20"/>
          <w:color w:val="auto"/>
        </w:rPr>
      </w:pPr>
    </w:p>
    <w:p>
      <w:pPr>
        <w:ind w:left="240" w:right="540"/>
        <w:spacing w:after="0" w:line="357" w:lineRule="auto"/>
        <w:rPr>
          <w:sz w:val="20"/>
          <w:szCs w:val="20"/>
          <w:color w:val="auto"/>
        </w:rPr>
      </w:pPr>
      <w:r>
        <w:rPr>
          <w:rFonts w:ascii="Arial" w:cs="Arial" w:eastAsia="Arial" w:hAnsi="Arial"/>
          <w:sz w:val="15"/>
          <w:szCs w:val="15"/>
          <w:b w:val="1"/>
          <w:bCs w:val="1"/>
          <w:i w:val="1"/>
          <w:iCs w:val="1"/>
          <w:color w:val="auto"/>
        </w:rPr>
        <w:t>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w:t>
      </w:r>
    </w:p>
    <w:p>
      <w:pPr>
        <w:ind w:firstLine="456"/>
        <w:spacing w:after="0" w:line="286" w:lineRule="auto"/>
        <w:rPr>
          <w:sz w:val="20"/>
          <w:szCs w:val="20"/>
          <w:color w:val="auto"/>
        </w:rPr>
      </w:pPr>
      <w:r>
        <w:rPr>
          <w:rFonts w:ascii="Arial" w:cs="Arial" w:eastAsia="Arial" w:hAnsi="Arial"/>
          <w:sz w:val="16"/>
          <w:szCs w:val="16"/>
          <w:color w:val="auto"/>
        </w:rPr>
        <w:t>The market price of our common stock has historically experienced significant volatility and may continue to experience such volatility in the future. Factors such as our financial performance, technological achievements by us and our competitors, the establishment of development or strategic relationships with other companies, strategic acquisitions, new customer orders and contracts, our exposure to, and the disruption in our relationship with Sinovel, and our introduction of commercial products may have a significant effect on the market price of our common stock. For example, after we announced on April 5, 2011 that our largest customer, Sinovel, had refused shipments on March 31, 2011, our stock price dropped significantly.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Currently a number of purported class action lawsuits have been filed against us on behalf of certain purchasers of our common stock, which we are prepared to rigorously defend. If we become subject to additional litigation of this kind in the future, it could result in additional substantial litigation costs, a damages award against us and the further diversion of our management’s attention.</w:t>
      </w:r>
    </w:p>
    <w:p>
      <w:pPr>
        <w:spacing w:after="0" w:line="1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i w:val="1"/>
          <w:iCs w:val="1"/>
          <w:color w:val="auto"/>
        </w:rPr>
        <w:t>UNRESOLVEDSTAFF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corporate headquarters and Amperium</w:t>
      </w:r>
      <w:r>
        <w:rPr>
          <w:rFonts w:ascii="Arial" w:cs="Arial" w:eastAsia="Arial" w:hAnsi="Arial"/>
          <w:sz w:val="11"/>
          <w:szCs w:val="11"/>
          <w:color w:val="auto"/>
        </w:rPr>
        <w:t>TM</w:t>
      </w:r>
      <w:r>
        <w:rPr>
          <w:rFonts w:ascii="Arial" w:cs="Arial" w:eastAsia="Arial" w:hAnsi="Arial"/>
          <w:sz w:val="18"/>
          <w:szCs w:val="18"/>
          <w:color w:val="auto"/>
        </w:rPr>
        <w:t xml:space="preserve"> wire manufacturing operations are located in a 355,000-square-foot facility owned by us and located in Devens, Massachusetts.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occupy leased facilities located in Middleton and New Berlin, Wisconsin; Suzhou and Beijing, China; and Klagenfurt, Austria with a combined total of approximately 299,000 square feet of space. These leases have varying expiration dates through February 2016 which can generally be terminated at our request after a six month advance notice. Our other locations focus primarily on applications engineering, sales and/or field service and do not have significant leases or physical presence. We believe all of these facilities are well-maintained and suitable for their intended uses.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March 31, 2012:</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Supporting</w:t>
            </w:r>
          </w:p>
        </w:tc>
        <w:tc>
          <w:tcPr>
            <w:tcW w:w="164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Square Footage</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Owned/Leased</w:t>
            </w:r>
          </w:p>
        </w:tc>
      </w:tr>
      <w:tr>
        <w:trPr>
          <w:trHeight w:val="190"/>
        </w:trPr>
        <w:tc>
          <w:tcPr>
            <w:tcW w:w="3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2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220" w:type="dxa"/>
            <w:vAlign w:val="bottom"/>
            <w:gridSpan w:val="2"/>
          </w:tcPr>
          <w:p>
            <w:pPr>
              <w:ind w:left="220"/>
              <w:spacing w:after="0"/>
              <w:rPr>
                <w:sz w:val="20"/>
                <w:szCs w:val="20"/>
                <w:color w:val="auto"/>
              </w:rPr>
            </w:pPr>
            <w:r>
              <w:rPr>
                <w:rFonts w:ascii="Arial" w:cs="Arial" w:eastAsia="Arial" w:hAnsi="Arial"/>
                <w:sz w:val="18"/>
                <w:szCs w:val="18"/>
                <w:color w:val="auto"/>
              </w:rPr>
              <w:t>Devens, Massachusetts</w:t>
            </w:r>
          </w:p>
        </w:tc>
        <w:tc>
          <w:tcPr>
            <w:tcW w:w="4660" w:type="dxa"/>
            <w:vAlign w:val="bottom"/>
            <w:gridSpan w:val="3"/>
          </w:tcPr>
          <w:p>
            <w:pPr>
              <w:ind w:left="1360"/>
              <w:spacing w:after="0"/>
              <w:rPr>
                <w:sz w:val="20"/>
                <w:szCs w:val="20"/>
                <w:color w:val="auto"/>
              </w:rPr>
            </w:pPr>
            <w:r>
              <w:rPr>
                <w:rFonts w:ascii="Arial" w:cs="Arial" w:eastAsia="Arial" w:hAnsi="Arial"/>
                <w:sz w:val="18"/>
                <w:szCs w:val="18"/>
                <w:color w:val="auto"/>
              </w:rPr>
              <w:t>Corporate &amp; Grid Segment</w:t>
            </w:r>
          </w:p>
        </w:tc>
        <w:tc>
          <w:tcPr>
            <w:tcW w:w="900" w:type="dxa"/>
            <w:vAlign w:val="bottom"/>
          </w:tcPr>
          <w:p>
            <w:pPr>
              <w:jc w:val="right"/>
              <w:spacing w:after="0"/>
              <w:rPr>
                <w:sz w:val="20"/>
                <w:szCs w:val="20"/>
                <w:color w:val="auto"/>
              </w:rPr>
            </w:pPr>
            <w:r>
              <w:rPr>
                <w:rFonts w:ascii="Arial" w:cs="Arial" w:eastAsia="Arial" w:hAnsi="Arial"/>
                <w:sz w:val="18"/>
                <w:szCs w:val="18"/>
                <w:color w:val="auto"/>
              </w:rPr>
              <w:t>355,000</w:t>
            </w:r>
          </w:p>
        </w:tc>
        <w:tc>
          <w:tcPr>
            <w:tcW w:w="7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r>
      <w:tr>
        <w:trPr>
          <w:trHeight w:val="216"/>
        </w:trPr>
        <w:tc>
          <w:tcPr>
            <w:tcW w:w="3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Middleton, Wisconsin</w:t>
            </w:r>
          </w:p>
        </w:tc>
        <w:tc>
          <w:tcPr>
            <w:tcW w:w="466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Grid Segment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r>
      <w:tr>
        <w:trPr>
          <w:trHeight w:val="216"/>
        </w:trPr>
        <w:tc>
          <w:tcPr>
            <w:tcW w:w="3220" w:type="dxa"/>
            <w:vAlign w:val="bottom"/>
            <w:gridSpan w:val="2"/>
          </w:tcPr>
          <w:p>
            <w:pPr>
              <w:ind w:left="220"/>
              <w:spacing w:after="0"/>
              <w:rPr>
                <w:sz w:val="20"/>
                <w:szCs w:val="20"/>
                <w:color w:val="auto"/>
              </w:rPr>
            </w:pPr>
            <w:r>
              <w:rPr>
                <w:rFonts w:ascii="Arial" w:cs="Arial" w:eastAsia="Arial" w:hAnsi="Arial"/>
                <w:sz w:val="18"/>
                <w:szCs w:val="18"/>
                <w:color w:val="auto"/>
              </w:rPr>
              <w:t>New Berlin, Wisconsin</w:t>
            </w:r>
          </w:p>
        </w:tc>
        <w:tc>
          <w:tcPr>
            <w:tcW w:w="4660" w:type="dxa"/>
            <w:vAlign w:val="bottom"/>
            <w:gridSpan w:val="3"/>
          </w:tcPr>
          <w:p>
            <w:pPr>
              <w:ind w:left="1360"/>
              <w:spacing w:after="0"/>
              <w:rPr>
                <w:sz w:val="20"/>
                <w:szCs w:val="20"/>
                <w:color w:val="auto"/>
              </w:rPr>
            </w:pPr>
            <w:r>
              <w:rPr>
                <w:rFonts w:ascii="Arial" w:cs="Arial" w:eastAsia="Arial" w:hAnsi="Arial"/>
                <w:sz w:val="18"/>
                <w:szCs w:val="18"/>
                <w:color w:val="auto"/>
              </w:rPr>
              <w:t>Wind and Grid Segments</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ind w:left="220"/>
              <w:spacing w:after="0"/>
              <w:rPr>
                <w:sz w:val="20"/>
                <w:szCs w:val="20"/>
                <w:color w:val="auto"/>
              </w:rPr>
            </w:pPr>
            <w:r>
              <w:rPr>
                <w:rFonts w:ascii="Arial" w:cs="Arial" w:eastAsia="Arial" w:hAnsi="Arial"/>
                <w:sz w:val="18"/>
                <w:szCs w:val="18"/>
                <w:color w:val="auto"/>
              </w:rPr>
              <w:t>Suzhou</w:t>
            </w:r>
          </w:p>
        </w:tc>
        <w:tc>
          <w:tcPr>
            <w:tcW w:w="4660" w:type="dxa"/>
            <w:vAlign w:val="bottom"/>
            <w:gridSpan w:val="3"/>
          </w:tcPr>
          <w:p>
            <w:pPr>
              <w:ind w:left="1360"/>
              <w:spacing w:after="0"/>
              <w:rPr>
                <w:sz w:val="20"/>
                <w:szCs w:val="20"/>
                <w:color w:val="auto"/>
              </w:rPr>
            </w:pPr>
            <w:r>
              <w:rPr>
                <w:rFonts w:ascii="Arial" w:cs="Arial" w:eastAsia="Arial" w:hAnsi="Arial"/>
                <w:sz w:val="18"/>
                <w:szCs w:val="18"/>
                <w:color w:val="auto"/>
              </w:rPr>
              <w:t>Wind Segment</w:t>
            </w:r>
          </w:p>
        </w:tc>
        <w:tc>
          <w:tcPr>
            <w:tcW w:w="900" w:type="dxa"/>
            <w:vAlign w:val="bottom"/>
          </w:tcPr>
          <w:p>
            <w:pPr>
              <w:jc w:val="right"/>
              <w:spacing w:after="0"/>
              <w:rPr>
                <w:sz w:val="20"/>
                <w:szCs w:val="20"/>
                <w:color w:val="auto"/>
              </w:rPr>
            </w:pPr>
            <w:r>
              <w:rPr>
                <w:rFonts w:ascii="Arial" w:cs="Arial" w:eastAsia="Arial" w:hAnsi="Arial"/>
                <w:sz w:val="18"/>
                <w:szCs w:val="18"/>
                <w:color w:val="auto"/>
              </w:rPr>
              <w:t>124,000</w:t>
            </w:r>
          </w:p>
        </w:tc>
        <w:tc>
          <w:tcPr>
            <w:tcW w:w="7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r>
      <w:tr>
        <w:trPr>
          <w:trHeight w:val="216"/>
        </w:trPr>
        <w:tc>
          <w:tcPr>
            <w:tcW w:w="3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Beijing</w:t>
            </w:r>
          </w:p>
        </w:tc>
        <w:tc>
          <w:tcPr>
            <w:tcW w:w="466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Wind &amp; Grid Segments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Klagenfurt</w:t>
            </w:r>
          </w:p>
        </w:tc>
        <w:tc>
          <w:tcPr>
            <w:tcW w:w="466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Wind Segment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r>
      <w:tr>
        <w:trPr>
          <w:trHeight w:val="363"/>
        </w:trPr>
        <w:tc>
          <w:tcPr>
            <w:tcW w:w="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40" w:type="dxa"/>
            <w:vAlign w:val="bottom"/>
          </w:tcPr>
          <w:p>
            <w:pPr>
              <w:ind w:left="1940"/>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Superconductor Corporation, et al.</w:t>
      </w:r>
      <w:r>
        <w:rPr>
          <w:rFonts w:ascii="Arial" w:cs="Arial" w:eastAsia="Arial" w:hAnsi="Arial"/>
          <w:sz w:val="16"/>
          <w:szCs w:val="16"/>
          <w:color w:val="auto"/>
        </w:rPr>
        <w:t>, Docket No. 1:11-cv-10582-WGY. On August 31, 2011, Lead Plaintiff, the Plumbers and Pipefitters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us and our officers, and taking under advisement the motion to dismiss the Exchange Act claims against us and our officers and the motion to dismiss the Securities Act claims made against the underwriters. To date, the district court has not issued an order regarding the Exchange Act claims against us and our officers or the Securities Act claims against the underwriters, so those matters remain under advisement.</w:t>
      </w:r>
    </w:p>
    <w:p>
      <w:pPr>
        <w:spacing w:after="0" w:line="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w:t>
      </w:r>
      <w:r>
        <w:rPr>
          <w:rFonts w:ascii="Arial" w:cs="Arial" w:eastAsia="Arial" w:hAnsi="Arial"/>
          <w:sz w:val="16"/>
          <w:szCs w:val="16"/>
          <w:color w:val="auto"/>
        </w:rPr>
        <w:t xml:space="preserve"> et al., moved to voluntarily dismiss its complaint and refiled its complaint in Superior Court for the Commonwealth of Massachusetts, Middlesex County. On September 7, 2011, the Marlborough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 Revocable Trust v.</w:t>
      </w:r>
      <w:r>
        <w:rPr>
          <w:rFonts w:ascii="Arial" w:cs="Arial" w:eastAsia="Arial" w:hAnsi="Arial"/>
          <w:sz w:val="16"/>
          <w:szCs w:val="16"/>
          <w:color w:val="auto"/>
        </w:rPr>
        <w:t xml:space="preserve"> </w:t>
      </w:r>
      <w:r>
        <w:rPr>
          <w:rFonts w:ascii="Arial" w:cs="Arial" w:eastAsia="Arial" w:hAnsi="Arial"/>
          <w:sz w:val="16"/>
          <w:szCs w:val="16"/>
          <w:i w:val="1"/>
          <w:iCs w:val="1"/>
          <w:color w:val="auto"/>
        </w:rPr>
        <w:t>Yurek</w:t>
      </w:r>
      <w:r>
        <w:rPr>
          <w:rFonts w:ascii="Arial" w:cs="Arial" w:eastAsia="Arial" w:hAnsi="Arial"/>
          <w:sz w:val="16"/>
          <w:szCs w:val="16"/>
          <w:color w:val="auto"/>
        </w:rPr>
        <w:t>, et al., Docket No. 11-1961. On January 12, 2012, an additional shareholder derivative complaint was filed in the Court of Chancery for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Delaware. That matter is captioned </w:t>
      </w:r>
      <w:r>
        <w:rPr>
          <w:rFonts w:ascii="Arial" w:cs="Arial" w:eastAsia="Arial" w:hAnsi="Arial"/>
          <w:sz w:val="16"/>
          <w:szCs w:val="16"/>
          <w:i w:val="1"/>
          <w:iCs w:val="1"/>
          <w:color w:val="auto"/>
        </w:rPr>
        <w:t>Krasnoff v. Budhraja</w:t>
      </w:r>
      <w:r>
        <w:rPr>
          <w:rFonts w:ascii="Arial" w:cs="Arial" w:eastAsia="Arial" w:hAnsi="Arial"/>
          <w:sz w:val="16"/>
          <w:szCs w:val="16"/>
          <w:color w:val="auto"/>
        </w:rPr>
        <w:t>, et al., Docket No. 7171.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us, as well as an award of costs and expenses, including attorney’s fees.</w:t>
      </w:r>
    </w:p>
    <w:p>
      <w:pPr>
        <w:spacing w:after="0" w:line="4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w:t>
      </w:r>
    </w:p>
    <w:p>
      <w:pPr>
        <w:spacing w:after="0" w:line="6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case is captioned </w:t>
      </w:r>
      <w:r>
        <w:rPr>
          <w:rFonts w:ascii="Arial" w:cs="Arial" w:eastAsia="Arial" w:hAnsi="Arial"/>
          <w:sz w:val="16"/>
          <w:szCs w:val="16"/>
          <w:i w:val="1"/>
          <w:iCs w:val="1"/>
          <w:color w:val="auto"/>
        </w:rPr>
        <w:t>(2011) Jin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3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4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We also submitted a civil action application to the Beijing No. 1 Intermediate People’s Court under the caption </w:t>
      </w:r>
      <w:r>
        <w:rPr>
          <w:rFonts w:ascii="Arial" w:cs="Arial" w:eastAsia="Arial" w:hAnsi="Arial"/>
          <w:sz w:val="16"/>
          <w:szCs w:val="16"/>
          <w:i w:val="1"/>
          <w:iCs w:val="1"/>
          <w:color w:val="auto"/>
        </w:rPr>
        <w:t>(2011) Yi Zhong Min Chu Zi No. 15524,</w:t>
      </w:r>
      <w:r>
        <w:rPr>
          <w:rFonts w:ascii="Arial" w:cs="Arial" w:eastAsia="Arial" w:hAnsi="Arial"/>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On February 14, 2012, the court denied Sinovel’s motion to remove the case. On February 21, 2012, Sinovel filed an appeal of the Beijing No. 1 Intermediate People’s Court decision to the Beijing Higher People’s Court.</w:t>
      </w:r>
    </w:p>
    <w:p>
      <w:pPr>
        <w:spacing w:after="0" w:line="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has accepted the case, which was necessary in order for the case to proceed. On December 22, 2011 the Beijing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Higher People’s Court transferred the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We are currently awaiting notice from the Beijing No. 1 Intermediate People’s Court regarding the evidence submission deadline and the first hearing date.</w:t>
      </w:r>
    </w:p>
    <w:p>
      <w:pPr>
        <w:spacing w:after="0" w:line="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appealed the court’s ruling to the Hainan Higher Court, which on April 5, 2012 upheld the decision of the Hainan Province No. 1 Intermediate People’s Court. On April 9, 2012, we filed an appeal of the Hainan Higher Court’s decision with China’s Supreme People’s Court. The Supreme Court accepted the appeal on May 23, 2012. The case is captioned, (2010) Min Shen Zi No. 630.</w:t>
      </w:r>
    </w:p>
    <w:p>
      <w:pPr>
        <w:spacing w:after="0" w:line="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($9.0 million). Ghodawat has filed a Reply to Answer to Request for Arbitration and Counterclaim in which it denies AMSC Austria’s counterclaims. The arbitration proceedings are currently ongoing. We have recorded a loss contingency based on our assessment of probable losses on this claim; however, this amount is immaterial to our consolidated financial statements.</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MINESAFETY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720" w:right="480" w:hanging="1444"/>
        <w:spacing w:after="0" w:line="268" w:lineRule="auto"/>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140" w:firstLine="456"/>
        <w:spacing w:after="0" w:line="331" w:lineRule="auto"/>
        <w:rPr>
          <w:sz w:val="20"/>
          <w:szCs w:val="20"/>
          <w:color w:val="auto"/>
        </w:rPr>
      </w:pPr>
      <w:r>
        <w:rPr>
          <w:rFonts w:ascii="Arial" w:cs="Arial" w:eastAsia="Arial" w:hAnsi="Arial"/>
          <w:sz w:val="16"/>
          <w:szCs w:val="16"/>
          <w:color w:val="auto"/>
        </w:rPr>
        <w:t>Our common stock has been listed on the NASDAQ Global Select Market under the symbol “AMSC” since 1991. The following table sets forth the high and low sales price per share of our common stock as reported on the NASDAQ Global Select Market for the two most recent fiscal years:</w:t>
      </w:r>
    </w:p>
    <w:tbl>
      <w:tblPr>
        <w:tblLayout w:type="fixed"/>
        <w:tblInd w:w="460" w:type="dxa"/>
        <w:tblCellMar>
          <w:top w:w="0" w:type="dxa"/>
          <w:left w:w="0" w:type="dxa"/>
          <w:bottom w:w="0" w:type="dxa"/>
          <w:right w:w="0" w:type="dxa"/>
        </w:tblCellMar>
      </w:tblPr>
      <w:tr>
        <w:trPr>
          <w:trHeight w:val="150"/>
        </w:trPr>
        <w:tc>
          <w:tcPr>
            <w:tcW w:w="5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600" w:type="dxa"/>
            <w:vAlign w:val="bottom"/>
            <w:gridSpan w:val="6"/>
          </w:tcPr>
          <w:p>
            <w:pPr>
              <w:ind w:left="300"/>
              <w:spacing w:after="0" w:line="150" w:lineRule="exact"/>
              <w:rPr>
                <w:sz w:val="20"/>
                <w:szCs w:val="20"/>
                <w:color w:val="auto"/>
              </w:rPr>
            </w:pPr>
            <w:r>
              <w:rPr>
                <w:rFonts w:ascii="Arial" w:cs="Arial" w:eastAsia="Arial" w:hAnsi="Arial"/>
                <w:sz w:val="14"/>
                <w:szCs w:val="14"/>
                <w:b w:val="1"/>
                <w:bCs w:val="1"/>
                <w:color w:val="auto"/>
              </w:rPr>
              <w:t>Common Stock</w:t>
            </w:r>
          </w:p>
        </w:tc>
      </w:t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Price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March 31, 2012:</w:t>
            </w:r>
          </w:p>
        </w:tc>
        <w:tc>
          <w:tcPr>
            <w:tcW w:w="3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First quarter</w:t>
            </w:r>
          </w:p>
        </w:tc>
        <w:tc>
          <w:tcPr>
            <w:tcW w:w="3700" w:type="dxa"/>
            <w:vAlign w:val="bottom"/>
            <w:gridSpan w:val="3"/>
          </w:tcPr>
          <w:p>
            <w:pPr>
              <w:jc w:val="right"/>
              <w:ind w:right="40"/>
              <w:spacing w:after="0"/>
              <w:rPr>
                <w:sz w:val="20"/>
                <w:szCs w:val="20"/>
                <w:color w:val="auto"/>
              </w:rPr>
            </w:pPr>
            <w:r>
              <w:rPr>
                <w:rFonts w:ascii="Arial" w:cs="Arial" w:eastAsia="Arial" w:hAnsi="Arial"/>
                <w:sz w:val="18"/>
                <w:szCs w:val="18"/>
                <w:color w:val="auto"/>
              </w:rPr>
              <w:t>$25.19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Third quarter</w:t>
            </w:r>
          </w:p>
        </w:tc>
        <w:tc>
          <w:tcPr>
            <w:tcW w:w="3700" w:type="dxa"/>
            <w:vAlign w:val="bottom"/>
            <w:gridSpan w:val="3"/>
          </w:tcPr>
          <w:p>
            <w:pPr>
              <w:jc w:val="right"/>
              <w:ind w:right="40"/>
              <w:spacing w:after="0"/>
              <w:rPr>
                <w:sz w:val="20"/>
                <w:szCs w:val="20"/>
                <w:color w:val="auto"/>
              </w:rPr>
            </w:pPr>
            <w:r>
              <w:rPr>
                <w:rFonts w:ascii="Arial" w:cs="Arial" w:eastAsia="Arial" w:hAnsi="Arial"/>
                <w:sz w:val="18"/>
                <w:szCs w:val="18"/>
                <w:color w:val="auto"/>
              </w:rPr>
              <w:t>4.79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Fiscal year ended March 31, 2011:</w:t>
            </w: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Second quarter</w:t>
            </w:r>
          </w:p>
        </w:tc>
        <w:tc>
          <w:tcPr>
            <w:tcW w:w="3700" w:type="dxa"/>
            <w:vAlign w:val="bottom"/>
            <w:gridSpan w:val="3"/>
          </w:tcPr>
          <w:p>
            <w:pPr>
              <w:jc w:val="right"/>
              <w:ind w:right="40"/>
              <w:spacing w:after="0"/>
              <w:rPr>
                <w:sz w:val="20"/>
                <w:szCs w:val="20"/>
                <w:color w:val="auto"/>
              </w:rPr>
            </w:pPr>
            <w:r>
              <w:rPr>
                <w:rFonts w:ascii="Arial" w:cs="Arial" w:eastAsia="Arial" w:hAnsi="Arial"/>
                <w:sz w:val="18"/>
                <w:szCs w:val="18"/>
                <w:color w:val="auto"/>
              </w:rPr>
              <w:t>33.10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25.59</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27.41</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Fourth quarter</w:t>
            </w:r>
          </w:p>
        </w:tc>
        <w:tc>
          <w:tcPr>
            <w:tcW w:w="3700" w:type="dxa"/>
            <w:vAlign w:val="bottom"/>
            <w:gridSpan w:val="3"/>
          </w:tcPr>
          <w:p>
            <w:pPr>
              <w:jc w:val="right"/>
              <w:ind w:right="40"/>
              <w:spacing w:after="0"/>
              <w:rPr>
                <w:sz w:val="20"/>
                <w:szCs w:val="20"/>
                <w:color w:val="auto"/>
              </w:rPr>
            </w:pPr>
            <w:r>
              <w:rPr>
                <w:rFonts w:ascii="Arial" w:cs="Arial" w:eastAsia="Arial" w:hAnsi="Arial"/>
                <w:sz w:val="18"/>
                <w:szCs w:val="18"/>
                <w:color w:val="auto"/>
              </w:rPr>
              <w:t>30.42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we announced on April 5, 2011 that our largest customer, Sinovel, had refused shipments on March 31, 2011, our stock price dropped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holders of record of our common stock on May 29, 2012 was 426.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 The Notes and our loan and security agreement with Hercules Technology Growth Capital, Inc. prohibit us from paying cash dividends.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graph compares the cumulative total stockholder return on our common stock from March 31, 2007 to March 31, 2012 with the cumulative total return of (i) the Russell 2000 Index and (ii) the S&amp;P 500 Index. This graph assumes the investment of $100.00 on March 31, 2007 in our common stock, the Russell 2000 Index and the S&amp;P 500 Index, and assumes any dividends are reinvested. Measurement points are March 31, 2008; March 31, 2009; March 31, 2010; March 31, 2011; and March 31, 2012.</w:t>
      </w:r>
    </w:p>
    <w:p>
      <w:pPr>
        <w:spacing w:after="0" w:line="21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COMPARISON OF 5 YEAR CUMULATIVE TOTAL RETURN Among American Superconductor Corporation, the Russell 2000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213995</wp:posOffset>
            </wp:positionV>
            <wp:extent cx="4244975" cy="2341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4497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Company/Index</w:t>
            </w:r>
          </w:p>
        </w:tc>
        <w:tc>
          <w:tcPr>
            <w:tcW w:w="4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3/31/2007</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3/31/2008</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3/31/2009</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3/31/2010</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3/31/2011</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3/31/2012</w:t>
            </w:r>
          </w:p>
        </w:tc>
        <w:tc>
          <w:tcPr>
            <w:tcW w:w="120" w:type="dxa"/>
            <w:vAlign w:val="bottom"/>
          </w:tcPr>
          <w:p>
            <w:pPr>
              <w:spacing w:after="0"/>
              <w:rPr>
                <w:sz w:val="15"/>
                <w:szCs w:val="15"/>
                <w:color w:val="auto"/>
              </w:rPr>
            </w:pPr>
          </w:p>
        </w:tc>
      </w:tr>
      <w:tr>
        <w:trPr>
          <w:trHeight w:val="203"/>
        </w:trPr>
        <w:tc>
          <w:tcPr>
            <w:tcW w:w="5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American Superconductor Corporation</w:t>
            </w:r>
          </w:p>
        </w:tc>
        <w:tc>
          <w:tcPr>
            <w:tcW w:w="620" w:type="dxa"/>
            <w:vAlign w:val="bottom"/>
            <w:tcBorders>
              <w:top w:val="single" w:sz="8" w:color="auto"/>
            </w:tcBorders>
            <w:shd w:val="clear" w:color="auto" w:fill="CCEEFF"/>
          </w:tcPr>
          <w:p>
            <w:pPr>
              <w:jc w:val="center"/>
              <w:ind w:left="276"/>
              <w:spacing w:after="0" w:line="203" w:lineRule="exact"/>
              <w:rPr>
                <w:sz w:val="20"/>
                <w:szCs w:val="20"/>
                <w:color w:val="auto"/>
              </w:rPr>
            </w:pPr>
            <w:r>
              <w:rPr>
                <w:rFonts w:ascii="Arial" w:cs="Arial" w:eastAsia="Arial" w:hAnsi="Arial"/>
                <w:sz w:val="18"/>
                <w:szCs w:val="18"/>
                <w:color w:val="auto"/>
                <w:w w:val="86"/>
              </w:rPr>
              <w:t>100</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172.16</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128.51</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214.55</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184.63</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30.59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Russell 2000</w:t>
            </w:r>
          </w:p>
        </w:tc>
        <w:tc>
          <w:tcPr>
            <w:tcW w:w="620" w:type="dxa"/>
            <w:vAlign w:val="bottom"/>
          </w:tcPr>
          <w:p>
            <w:pPr>
              <w:jc w:val="center"/>
              <w:ind w:left="276"/>
              <w:spacing w:after="0"/>
              <w:rPr>
                <w:sz w:val="20"/>
                <w:szCs w:val="20"/>
                <w:color w:val="auto"/>
              </w:rPr>
            </w:pPr>
            <w:r>
              <w:rPr>
                <w:rFonts w:ascii="Arial" w:cs="Arial" w:eastAsia="Arial" w:hAnsi="Arial"/>
                <w:sz w:val="18"/>
                <w:szCs w:val="18"/>
                <w:color w:val="auto"/>
                <w:w w:val="86"/>
              </w:rPr>
              <w:t>100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85.92</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84.75</w:t>
            </w:r>
          </w:p>
        </w:tc>
        <w:tc>
          <w:tcPr>
            <w:tcW w:w="4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105.35</w:t>
            </w:r>
          </w:p>
        </w:tc>
        <w:tc>
          <w:tcPr>
            <w:tcW w:w="660" w:type="dxa"/>
            <w:vAlign w:val="bottom"/>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500 Index</w:t>
            </w:r>
          </w:p>
        </w:tc>
        <w:tc>
          <w:tcPr>
            <w:tcW w:w="6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6"/>
              </w:rPr>
              <w:t>100</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8"/>
                <w:szCs w:val="18"/>
                <w:color w:val="auto"/>
              </w:rPr>
            </w:pPr>
          </w:p>
        </w:tc>
      </w:tr>
      <w:tr>
        <w:trPr>
          <w:trHeight w:val="363"/>
        </w:trPr>
        <w:tc>
          <w:tcPr>
            <w:tcW w:w="1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20" w:type="dxa"/>
            <w:vAlign w:val="bottom"/>
          </w:tcPr>
          <w:p>
            <w:pPr>
              <w:jc w:val="center"/>
              <w:ind w:left="236"/>
              <w:spacing w:after="0"/>
              <w:rPr>
                <w:sz w:val="20"/>
                <w:szCs w:val="20"/>
                <w:color w:val="auto"/>
              </w:rPr>
            </w:pPr>
            <w:r>
              <w:rPr>
                <w:rFonts w:ascii="Arial" w:cs="Arial" w:eastAsia="Arial" w:hAnsi="Arial"/>
                <w:sz w:val="18"/>
                <w:szCs w:val="18"/>
                <w:color w:val="auto"/>
                <w:w w:val="89"/>
              </w:rPr>
              <w:t>29</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selected financial data reflects the results of operations and balance sheet data for the fiscal years ended March 31, 2008 to 2012.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Fiscal Year Ended 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1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2009</w:t>
            </w:r>
          </w:p>
        </w:tc>
        <w:tc>
          <w:tcPr>
            <w:tcW w:w="8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340" w:type="dxa"/>
            <w:vAlign w:val="bottom"/>
            <w:gridSpan w:val="3"/>
          </w:tcPr>
          <w:p>
            <w:pPr>
              <w:jc w:val="right"/>
              <w:ind w:right="574"/>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5"/>
              </w:rPr>
              <w:t>$  76,543</w:t>
            </w:r>
          </w:p>
        </w:tc>
        <w:tc>
          <w:tcPr>
            <w:tcW w:w="11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$ 286,603</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$315,955</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$182,755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$ 112,396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(loss) income</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(136,827)</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(186,284)</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16,248</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(16,635)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(25,447)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common share — basic</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(2.69)</w:t>
            </w: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(3.95)</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0.37</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(loss) income per common share — diluted</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(2.69)</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(3.95)</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0.36</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(0.39)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(0.65)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255,056</w:t>
            </w:r>
          </w:p>
        </w:tc>
        <w:tc>
          <w:tcPr>
            <w:tcW w:w="11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441,209</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400,184</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309,106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261,234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57,248</w:t>
            </w:r>
          </w:p>
        </w:tc>
        <w:tc>
          <w:tcPr>
            <w:tcW w:w="1140" w:type="dxa"/>
            <w:vAlign w:val="bottom"/>
          </w:tcPr>
          <w:p>
            <w:pPr>
              <w:jc w:val="right"/>
              <w:ind w:right="158"/>
              <w:spacing w:after="0"/>
              <w:rPr>
                <w:sz w:val="20"/>
                <w:szCs w:val="20"/>
                <w:color w:val="auto"/>
              </w:rPr>
            </w:pPr>
            <w:r>
              <w:rPr>
                <w:rFonts w:ascii="Arial" w:cs="Arial" w:eastAsia="Arial" w:hAnsi="Arial"/>
                <w:sz w:val="18"/>
                <w:szCs w:val="18"/>
                <w:color w:val="auto"/>
              </w:rPr>
              <w:t>174,625</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158,234</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131,187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124,334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marketable securities and restricted cash</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66,209</w:t>
            </w:r>
          </w:p>
        </w:tc>
        <w:tc>
          <w:tcPr>
            <w:tcW w:w="11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245,475</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155,118</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117,207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119,404</w:t>
            </w: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164,879</w:t>
            </w:r>
          </w:p>
        </w:tc>
        <w:tc>
          <w:tcPr>
            <w:tcW w:w="1140" w:type="dxa"/>
            <w:vAlign w:val="bottom"/>
          </w:tcPr>
          <w:p>
            <w:pPr>
              <w:jc w:val="right"/>
              <w:ind w:right="158"/>
              <w:spacing w:after="0"/>
              <w:rPr>
                <w:sz w:val="20"/>
                <w:szCs w:val="20"/>
                <w:color w:val="auto"/>
              </w:rPr>
            </w:pPr>
            <w:r>
              <w:rPr>
                <w:rFonts w:ascii="Arial" w:cs="Arial" w:eastAsia="Arial" w:hAnsi="Arial"/>
                <w:sz w:val="18"/>
                <w:szCs w:val="18"/>
                <w:color w:val="auto"/>
              </w:rPr>
              <w:t>292,855</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280,965</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221,861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208,452</w:t>
            </w:r>
          </w:p>
        </w:tc>
      </w:tr>
    </w:tbl>
    <w:p>
      <w:pPr>
        <w:spacing w:after="0" w:line="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Included in the net loss for the fiscal year ended March 31, 2012 was stock-based compensation expense of $9.9 million, a write-off of an advance payment to The Switch of $20.6 million, restructuring and impairment charges of $9.2 million, expense of patent costs of $4.9 million, and Sinovel legal expenses of $5.8 million. Net loss for the fiscal year ended March 31, 2011 included $13.4 million in employee stock-based compensation expense. Also included in net loss for the fiscal year ended March 31, 2011 were charges primarily attributable to events surroundings our largest customer, Sinovel, a manufacturer of wind energy systems in China, including an increase in the provision for excess and obsolete inventory of $63.9 million, loss on adverse purchase commitments of $38.8 million, impairment of goodwill and certain other long-lived assets of $50.0 million and a write-off of prepaid value added taxes of $5.9 million. Sinovel refused to accept scheduled shipments on March 31, 2011. As a result of subsequent legal actions, we determined that the customer relationship with Sinovel would no longer continue. This impacted the valuation of assets, including inventory and goodwill, as well as the accrual of losses on adverse purchase commitments associated with the purchase of materials to support the manufacture of product for Sinovel. See Item 3 “Legal Proceedings” and Item 7, “Management’s Discussion and Analysis of Financial Condition and Results of Operations,” for further discussion of the Sinovel matter.</w:t>
      </w:r>
    </w:p>
    <w:p>
      <w:pPr>
        <w:spacing w:after="0" w:line="4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Working capital for the fiscal year ended March 31, 2011 included the November 2010 issuance of 4,600,000 shares of common stock at a price of $35.50 per share in a public equity offering, which resulted in net proceeds to the Company of approximately $155.2 million, after deducting the underwriting costs and offering expenses of $8.1 million.</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Net income for the fiscal year ended March 31, 2010 included $13.5 million in employee stock-based compensation expense and a $0.5 million charge primarily for restructuring related to our decision to consolidate our Massachusetts operations into one facility in Devens, Massachusetts. Net loss for the fiscal year ended March 31, 2009 included $9.7 million in employee stock-based compensation expense and a $1.0 million charge primarily for restructuring related to our decision to consolidate our Massachusetts operations into one facility in Devens, Massachusetts. Net loss for the fiscal year ended March 31, 2008 included $5.7 million in employee stock-based compensation expense, a $6.7 million charge for restructuring and $0.8 million in long-lived asset impairments.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6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 DISCUSSION AND ANALYSIS OF FINANCIAL CONDITION AND RESULTS OF OPERATIONS</w:t>
      </w:r>
      <w:r>
        <w:rPr>
          <w:rFonts w:ascii="Arial" w:cs="Arial" w:eastAsia="Arial" w:hAnsi="Arial"/>
          <w:sz w:val="18"/>
          <w:szCs w:val="18"/>
          <w:b w:val="1"/>
          <w:bCs w:val="1"/>
          <w:color w:val="auto"/>
        </w:rPr>
        <w:t xml:space="preserve"> Executive Overview</w:t>
      </w:r>
    </w:p>
    <w:p>
      <w:pPr>
        <w:spacing w:after="0" w:line="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American Superconductor Corporation was founded in 1987. 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35"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HTS wires. These technologies and our system-level solutions are protected by a broad and deep intellectual property portfolio consisting of hundreds of patents and licenses worldwide.</w:t>
      </w:r>
    </w:p>
    <w:p>
      <w:pPr>
        <w:spacing w:after="0" w:line="5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51" w:lineRule="exact"/>
        <w:rPr>
          <w:sz w:val="20"/>
          <w:szCs w:val="20"/>
          <w:color w:val="auto"/>
        </w:rPr>
      </w:pPr>
    </w:p>
    <w:p>
      <w:pPr>
        <w:ind w:left="660" w:right="80" w:hanging="206"/>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our Windtec Solutions, our Wind business segment enables manufacturers to field wind turbines with exceptional power output,</w:t>
      </w:r>
      <w:r>
        <w:rPr>
          <w:rFonts w:ascii="Arial" w:cs="Arial" w:eastAsia="Arial" w:hAnsi="Arial"/>
          <w:sz w:val="16"/>
          <w:szCs w:val="16"/>
          <w:i w:val="1"/>
          <w:iCs w:val="1"/>
          <w:color w:val="auto"/>
        </w:rPr>
        <w:t xml:space="preserve"> </w:t>
      </w:r>
      <w:r>
        <w:rPr>
          <w:rFonts w:ascii="Arial" w:cs="Arial" w:eastAsia="Arial" w:hAnsi="Arial"/>
          <w:sz w:val="16"/>
          <w:szCs w:val="16"/>
          <w:color w:val="auto"/>
        </w:rPr>
        <w:t>reliability and affordability. We license our highly engineered wind turbine designs, provide extensive customer support services and supply advanced power electronics and control systems to wind turbine manufactures.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39" w:lineRule="exact"/>
        <w:rPr>
          <w:rFonts w:ascii="Arial" w:cs="Arial" w:eastAsia="Arial" w:hAnsi="Arial"/>
          <w:sz w:val="16"/>
          <w:szCs w:val="16"/>
          <w:color w:val="auto"/>
        </w:rPr>
      </w:pPr>
    </w:p>
    <w:p>
      <w:pPr>
        <w:ind w:left="660" w:right="40" w:hanging="206"/>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and renewable energy project developers to connect, transmit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Prior to April 1, 2011, we segmented our operations through two technology-centric business units: AMSC Power Systems and AMSC Superconductors. AMSC Power Systems included all of our Wind products, as well as Grid products that regulate voltage for wind farm voltage electric utilities, renewable generation project developers and industrial operations. Solutions from our AMSC Superconductors business unit have been incorporated into our Grid business unit. We have reclassified prior period segment information in the Annual Report on Form 10-K to reflect our new segments.</w:t>
      </w:r>
    </w:p>
    <w:p>
      <w:pPr>
        <w:spacing w:after="0" w:line="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fiscal year begins on April 1 and ends on March 31. When we refer to a particular fiscal year, we are referring to the fiscal year beginning on April 1 of that same year. For example, fiscal 2011 refers to the fiscal year beginning on April 1, 2011. Other fiscal years follow similarly.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cash requirements depend on numerous factors, including managing our adverse purchase commitments, successful completion of our product development activities, ability to commercialize our product prototypes, rate of customer and market adoption of our products, collecting receivables according to established terms,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See below for a discussion of liquidity and capital resources.</w:t>
      </w:r>
    </w:p>
    <w:p>
      <w:pPr>
        <w:spacing w:after="0" w:line="39"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In fiscal year 2011, two customers, Inox Wind and Doosan Heavy Industries, accounted for approximately 18% and 11%, respectively, of our total revenues. Sinovel had been our largest customer, accounting for 68% and 70% of our total revenue for fiscal 2010 and 2009, respectively. We did not have any revenues from Sinovel in fiscal 2011. Sinovel was the only customer accounting for more than 10% of our total revenue for fiscal years 2010 and 2009. We derived our revenues from Sinovel through sales of core electrical components as well as development contracts for the design of wind turbines. On March 31, 2011, Sinovel refused to accept contracted scheduled shipments with a revenue value of approximately $65.2 million. In addition, we had approximately $62.0 million (excluding value added tax) owed to us for prior shipments from Sinovel as of March 31, 2011, for which we neither recorded as revenue nor as a receivable. The last payment received from Sinovel was in early March 2011.</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March 2011, we engaged in discussions with Sinovel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3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of the date of this filing, we have not received payment from Sinovel for any outstanding receivables nor have we been notified as to when, if ever, Sinovel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also filed civil and criminal complaints against Sinovel.</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cannot provide any assurance as to the outcome of these legal actions. We are now operating our business under the assumption that Sinovel will not be a customer. For more information about these legal proceedings, see Part I, Item 3,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above, the loss of Sinovel as a customer has materially and adversely affected our business and results of operations. Because Sinovel has accounted for more than two-thirds of our total revenue for fiscal 2010 and 2009, we experienced significantly lower revenues and significant operating losses for the fiscal years ended March 31, 2011 and March 31, 2012. Since no cash payments were made by Sinovel in the fiscal year ended March 31, 2012 for past shipments, we recognized no revenue from Sinovel during that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2012 and March 31,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Total revenues decreased by 73% to $76.5 million in fiscal 2011 from $286.6 million for fiscal 2010. Our revenues are summarized as follows (in thousands):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Fiscal Years Ended</w:t>
            </w:r>
          </w:p>
        </w:tc>
      </w:tr>
      <w:tr>
        <w:trPr>
          <w:trHeight w:val="161"/>
        </w:trPr>
        <w:tc>
          <w:tcPr>
            <w:tcW w:w="8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54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8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$44,642</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$231,761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Grid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31,901</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54,842</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76,543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286,603</w:t>
            </w:r>
          </w:p>
        </w:tc>
        <w:tc>
          <w:tcPr>
            <w:tcW w:w="100" w:type="dxa"/>
            <w:vAlign w:val="bottom"/>
            <w:shd w:val="clear" w:color="auto" w:fill="CCEEFF"/>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Revenues in our Wind business unit consist of revenues from wind turbine electrical systems and core components, wind turbine license and development contracts, service contracts and consulting arrangements. Our Wind business unit accounted for 58% of total revenues for fiscal year 2011 and 81% for fiscal year 2010. Revenues in the Wind business unit decreased 81% to $44.6 million in fiscal 2011 from $231.8 million in fiscal 2010. The decrease in Wind business unit revenues was driven primarily by the situation with Sinovel. Revenues from Sinovel were $194.8 million in fiscal 2010.</w:t>
      </w:r>
    </w:p>
    <w:p>
      <w:pPr>
        <w:spacing w:after="0" w:line="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Based on the average Euro and Renminbi exchange rates in fiscal 2011, revenues denominated in these foreign currencies translated into U.S. dollars were $0.6 million higher compared to the translation of these revenues using the average exchange rates of these currencies for fiscal 2010.</w:t>
      </w:r>
    </w:p>
    <w:p>
      <w:pPr>
        <w:spacing w:after="0" w:line="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Revenues in our Grid business unit consist of revenues from D-VAR</w:t>
      </w:r>
      <w:r>
        <w:rPr>
          <w:rFonts w:ascii="Arial" w:cs="Arial" w:eastAsia="Arial" w:hAnsi="Arial"/>
          <w:sz w:val="11"/>
          <w:szCs w:val="11"/>
          <w:color w:val="auto"/>
        </w:rPr>
        <w:t>®</w:t>
      </w:r>
      <w:r>
        <w:rPr>
          <w:rFonts w:ascii="Arial" w:cs="Arial" w:eastAsia="Arial" w:hAnsi="Arial"/>
          <w:sz w:val="18"/>
          <w:szCs w:val="18"/>
          <w:color w:val="auto"/>
        </w:rPr>
        <w:t>, D-VAR</w:t>
      </w:r>
      <w:r>
        <w:rPr>
          <w:rFonts w:ascii="Arial" w:cs="Arial" w:eastAsia="Arial" w:hAnsi="Arial"/>
          <w:sz w:val="11"/>
          <w:szCs w:val="11"/>
          <w:color w:val="auto"/>
        </w:rPr>
        <w:t>®</w:t>
      </w:r>
      <w:r>
        <w:rPr>
          <w:rFonts w:ascii="Arial" w:cs="Arial" w:eastAsia="Arial" w:hAnsi="Arial"/>
          <w:sz w:val="18"/>
          <w:szCs w:val="18"/>
          <w:color w:val="auto"/>
        </w:rPr>
        <w:t xml:space="preserve"> RT, SVC and PowerModule</w:t>
      </w:r>
      <w:r>
        <w:rPr>
          <w:rFonts w:ascii="Arial" w:cs="Arial" w:eastAsia="Arial" w:hAnsi="Arial"/>
          <w:sz w:val="11"/>
          <w:szCs w:val="11"/>
          <w:color w:val="auto"/>
        </w:rPr>
        <w:t>TM</w:t>
      </w:r>
      <w:r>
        <w:rPr>
          <w:rFonts w:ascii="Arial" w:cs="Arial" w:eastAsia="Arial" w:hAnsi="Arial"/>
          <w:sz w:val="18"/>
          <w:szCs w:val="18"/>
          <w:color w:val="auto"/>
        </w:rPr>
        <w:t xml:space="preserve"> product sales contract revenues, HTS wire sales, revenues under government-sponsored electric utility projects, and other prototype development contracts. We also engineer, install and commission our products on a turnkey basis for some customers. The Grid business unit accounted for 42% and 19% of revenues for fiscal 2011 and 2010, respectively. Grid revenue decreased 42% to $31.9 million in fiscal 2011 from $54.8 million in fiscal 2010. The decrease in revenues was primarily due to a significant D-VAR</w:t>
      </w:r>
      <w:r>
        <w:rPr>
          <w:rFonts w:ascii="Arial" w:cs="Arial" w:eastAsia="Arial" w:hAnsi="Arial"/>
          <w:sz w:val="11"/>
          <w:szCs w:val="11"/>
          <w:color w:val="auto"/>
        </w:rPr>
        <w:t>®</w:t>
      </w:r>
      <w:r>
        <w:rPr>
          <w:rFonts w:ascii="Arial" w:cs="Arial" w:eastAsia="Arial" w:hAnsi="Arial"/>
          <w:sz w:val="18"/>
          <w:szCs w:val="18"/>
          <w:color w:val="auto"/>
        </w:rPr>
        <w:t xml:space="preserve"> project in Australia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that was completed in fiscal year 2010. Revenues from significant Grid government-funded contract revenues are summarized as follows (in thousands):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780" w:type="dxa"/>
            <w:vAlign w:val="bottom"/>
          </w:tcPr>
          <w:p>
            <w:pPr>
              <w:spacing w:after="0"/>
              <w:rPr>
                <w:sz w:val="14"/>
                <w:szCs w:val="14"/>
                <w:color w:val="auto"/>
              </w:rPr>
            </w:pPr>
          </w:p>
        </w:tc>
        <w:tc>
          <w:tcPr>
            <w:tcW w:w="18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Revenue Earned for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Earned</w:t>
            </w:r>
          </w:p>
        </w:tc>
        <w:tc>
          <w:tcPr>
            <w:tcW w:w="78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the Year</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Expected Total</w:t>
            </w:r>
          </w:p>
        </w:tc>
        <w:tc>
          <w:tcPr>
            <w:tcW w:w="380" w:type="dxa"/>
            <w:vAlign w:val="bottom"/>
          </w:tcPr>
          <w:p>
            <w:pPr>
              <w:spacing w:after="0"/>
              <w:rPr>
                <w:sz w:val="9"/>
                <w:szCs w:val="9"/>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78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Project Name</w:t>
            </w:r>
          </w:p>
        </w:tc>
        <w:tc>
          <w:tcPr>
            <w:tcW w:w="198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00" w:type="dxa"/>
            <w:vAlign w:val="bottom"/>
            <w:gridSpan w:val="3"/>
            <w:vMerge w:val="continue"/>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Contract Value</w:t>
            </w:r>
          </w:p>
        </w:tc>
        <w:tc>
          <w:tcPr>
            <w:tcW w:w="980" w:type="dxa"/>
            <w:vAlign w:val="bottom"/>
            <w:gridSpan w:val="2"/>
          </w:tcPr>
          <w:p>
            <w:pPr>
              <w:jc w:val="center"/>
              <w:ind w:left="296"/>
              <w:spacing w:after="0" w:line="148" w:lineRule="exact"/>
              <w:rPr>
                <w:sz w:val="20"/>
                <w:szCs w:val="20"/>
                <w:color w:val="auto"/>
              </w:rPr>
            </w:pPr>
            <w:r>
              <w:rPr>
                <w:rFonts w:ascii="Arial" w:cs="Arial" w:eastAsia="Arial" w:hAnsi="Arial"/>
                <w:sz w:val="14"/>
                <w:szCs w:val="14"/>
                <w:b w:val="1"/>
                <w:bCs w:val="1"/>
                <w:color w:val="auto"/>
                <w:w w:val="89"/>
              </w:rPr>
              <w:t>2012</w:t>
            </w:r>
          </w:p>
        </w:tc>
        <w:tc>
          <w:tcPr>
            <w:tcW w:w="128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HYDRA</w:t>
            </w:r>
          </w:p>
        </w:tc>
        <w:tc>
          <w:tcPr>
            <w:tcW w:w="27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29,043</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$ 12,158</w:t>
            </w: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$1,606</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LIPA I and II</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40,141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39,978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1,577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DOE-FCL</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7,898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NAVSEA Motor Study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6,511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6,492</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83,593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$ 65,877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significant projects represented 12% and 14% of our Grid business unit’s revenue for fiscal 2011 and 2010, respectively.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Project HYDRA is a project with Consolidated Edison, Inc. which is being partially funded by the Department of Homeland Security (“DHS”). DHS is expected to invest up to a total of $29.0 million in the development of a new HTS power grid technology called FaultBlocker™ cable systems. FaultBlocker</w:t>
      </w:r>
      <w:r>
        <w:rPr>
          <w:rFonts w:ascii="Arial" w:cs="Arial" w:eastAsia="Arial" w:hAnsi="Arial"/>
          <w:sz w:val="10"/>
          <w:szCs w:val="10"/>
          <w:color w:val="auto"/>
        </w:rPr>
        <w:t>TM</w:t>
      </w:r>
      <w:r>
        <w:rPr>
          <w:rFonts w:ascii="Arial" w:cs="Arial" w:eastAsia="Arial" w:hAnsi="Arial"/>
          <w:sz w:val="16"/>
          <w:szCs w:val="16"/>
          <w:color w:val="auto"/>
        </w:rPr>
        <w:t xml:space="preserve"> cable systems are designed to utilize customized Amperium™ HTS wires, and ancillary controls to deliver more power through the grid while also being able to suppress power surges that can disrupt service. On September 15, 2011, DHS committed an additional $4.1 million in funding on Project HYDRA. Of the total $29.0 million in funding expected from DHS, it has committed funding of $15.6 million to us as of March 31, 2012. Consolidated Edison and Southwire Company are our subcontractors on this project.</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LIPA II is a project to install an HTS power cable using our Amperium™ wire for the Long Island Power Authority. DOE-FCL is a project to develop and demonstrate a transmission voltage SuperLimiter fault current limiter (“FCL”). The NAVSEA Motor Study is a project designed to test the 36.5 MW superconductor motor developed for the U.S. Navy.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Cost of revenues decreased by 73% to $82.9 million for fiscal 2011, compared to $308.2 million for fiscal 2010. Gross margin decreased to (8.3)% in fiscal 2011 from (7.5)% in fiscal 2010. Cost of revenues in fiscal 2010 was negatively impacted by $102.7 million in non-recurring charges relating to the write-off of inventory and the recording of a liability for adverse purchase commitments in connection with the situation with Sinovel. The decrease in gross margin in fiscal 2011 was driven primarily by the lost gross margin on sales to Sinovel, which did not occur in fiscal 2011, partially offset by the negative impact of the write-offs described above on gross margin in fiscal 2010, as well as $1.3 million in adverse purchase commitment recoveries in fiscal 2011. Based on the average Euro and Renminbi exchange rates in fiscal 2011, costs of revenues denominated in these foreign currencies translated into U.S. dollars were $1.0 million higher compared to the translation of these cost of revenues using the average exchange rates of these currencies for fiscal 2010.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500" w:firstLine="456"/>
        <w:spacing w:after="0" w:line="331"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tbl>
      <w:tblPr>
        <w:tblLayout w:type="fixed"/>
        <w:tblInd w:w="460" w:type="dxa"/>
        <w:tblCellMar>
          <w:top w:w="0" w:type="dxa"/>
          <w:left w:w="0" w:type="dxa"/>
          <w:bottom w:w="0" w:type="dxa"/>
          <w:right w:w="0" w:type="dxa"/>
        </w:tblCellMar>
      </w:tblPr>
      <w:tr>
        <w:trPr>
          <w:trHeight w:val="150"/>
        </w:trPr>
        <w:tc>
          <w:tcPr>
            <w:tcW w:w="8740" w:type="dxa"/>
            <w:vAlign w:val="bottom"/>
          </w:tcPr>
          <w:p>
            <w:pPr>
              <w:spacing w:after="0"/>
              <w:rPr>
                <w:sz w:val="13"/>
                <w:szCs w:val="13"/>
                <w:color w:val="auto"/>
              </w:rPr>
            </w:pPr>
          </w:p>
        </w:tc>
        <w:tc>
          <w:tcPr>
            <w:tcW w:w="1760" w:type="dxa"/>
            <w:vAlign w:val="bottom"/>
            <w:gridSpan w:val="5"/>
          </w:tcPr>
          <w:p>
            <w:pPr>
              <w:jc w:val="center"/>
              <w:ind w:right="100"/>
              <w:spacing w:after="0" w:line="150" w:lineRule="exact"/>
              <w:rPr>
                <w:sz w:val="20"/>
                <w:szCs w:val="20"/>
                <w:color w:val="auto"/>
              </w:rPr>
            </w:pPr>
            <w:r>
              <w:rPr>
                <w:rFonts w:ascii="Arial" w:cs="Arial" w:eastAsia="Arial" w:hAnsi="Arial"/>
                <w:sz w:val="14"/>
                <w:szCs w:val="14"/>
                <w:b w:val="1"/>
                <w:bCs w:val="1"/>
                <w:color w:val="auto"/>
                <w:w w:val="85"/>
              </w:rPr>
              <w:t>Fiscal Years Ended</w:t>
            </w:r>
          </w:p>
        </w:tc>
      </w:tr>
      <w:tr>
        <w:trPr>
          <w:trHeight w:val="161"/>
        </w:trPr>
        <w:tc>
          <w:tcPr>
            <w:tcW w:w="874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expenses per consolidated statements of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$27,271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$32,517</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12,002</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Aggregated R&amp;D expenses</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39,437</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50,969</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decreased by 16% to $27.3 million, or 36% of revenue, for fiscal 2011 from $32.5 million, or 11% of revenue, for fiscal 2010. The decrease in R&amp;D expenses was primarily due to decreased headcount and related labor spending as a result of restructuring activities undertaken in fiscal 2011. The decrease in R&amp;D expenditures reclassified to cost of revenue was primarily driven by lower development project related revenue. Aggregated R&amp;D expenses, which include amounts classified as cost of revenues and amounts offset by cost-sharing funding, decreased 23% to $39.4 million, or 52% of revenue, for fiscal 2011, compared to $51.0 million, or 18% of revenue, for fiscal 2010. The increase in fiscal 2011 was driven primarily by the net impact of the factors described above.</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present aggregated R&amp;D, which is a measure (a “non-GAAP measure”) not calculated in accordance with generally accepted accounting principles in the United States of America (“GAAP”), because we believe it provides useful information on our aggregate R&amp;D spending and because R&amp;D expenses as reported on the consolidated statements of operations have been, and may in the future be, subject to significant fluctuations solely as a result of changes in the level of externally-funded contract development work, resulting in significant changes in the amount of the cost recorded as costs of revenues rather than as R&amp;D expenses, as discussed above.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SG&amp;A expenses decreased by less than 1% to $72.1 million, or 94% of revenue, in fiscal 2011 from $72.4 million, or 25% of revenue, in fiscal 2010. Fiscal 2011 SG&amp;A expenses included approximately $5.8 million in legal expenses related to the issue with Sinovel, a $4.9 million expense of patent costs as a result of changing our accounting policy for legal costs to defend and maintain our patents and $2.1 million in severance costs for our former Chief Executive Officer. Fiscal 2010 SG&amp;A expenses included $5.9 million in charges for the write-off of prepaid value-added taxes associated with the Sinovel matter. The decrease in SG&amp;A expenses was primarily related to our headcount reductions in fiscal 2011, partially offset by effect of the charges described above.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acquisition related intangibles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recorded $1.0 million in fiscal 2011 and $1.5 million in fiscal 2010 in amortization related to our contractual relationships/backlog, customer relationships, core technology and know-how, trade names and trademark intangible assets. The lower amortization in fiscal 2011was primarily driven by the write-off of certain intangible assets in fiscal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Write-off of advance payment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2011, we terminated our previously planned acquisition of The Switch due to adverse market conditions for a financing required to fund the acquisition. As a result, The Switch retained a $20.6 million advance payment as a break-up fee, and we recorded a write-off of the advance payment during the year ended March 31,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 and impairments</w:t>
      </w:r>
    </w:p>
    <w:p>
      <w:pPr>
        <w:spacing w:after="0" w:line="9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During fiscal 2011, we undertook a systematic restructuring of our operations as a result of the material changes in our business resulting from the situation with Sinovel, which was approved by the Board of Directors. These actions resulted in the reduction of approximately 50% of our headcount and are expected to generate approximately $50 million in annual savings. We recorded restructuring and impairment charges of $9.2 million for the year ended March 31, 2012.</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charges primarily consisted of employee severance and benefit costs related to the restructuring plan of $5.3 million, impairment charges of $1.7 million on long-lived assets for which there is no remaining future economic benefit as of March 31, 2012 and facility exit costs of $2.2 million related to the remaining lease commitments and certain asset impairments on the leased space in our Klagenfurt and Middleton locations.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(62,217)</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(100,546)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Grid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(29,645)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(63,855)</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(44,577)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(136,439)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 (177,983)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Wind generated an operating loss of $62.2 million in fiscal 2011 compared to an operating loss of $100.5 million in fiscal 2010. The decrease in operating loss for fiscal 2011 was primarily attributable to cost reduction efforts as well as charges described above in fiscal 2010 related to the situation with Sinovel that did not recur in fiscal 2011.</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Grid operating loss decreased to $29.6 million in fiscal 2011 from $63.9 million in fiscal 2010. The decrease in operating loss for fiscal 2011 is primarily attributed to the cost reduction efforts described above, partially offset by lower Grid revenues.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Unallocated corporate expenses in fiscal 2011 included the write-off of the advance payment to The Switch of $20.6 million, restructuring and impairment charges of $9.2 million, and expense of patent costs of $4.9 million related to changing our accounting policy for legal costs to defend and maintain our patents. Unallocated corporate expenses also included $9.9 million in stock-based compensation expense for fiscal 2011 compared to $13.4 million in stock-based compensation expense for fiscal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income, net was $0.2 million and $0.8 million for fiscal 2011 and 2010, respectively. The decrease in interest income, net was driven by lower cash balances.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income (expense), net was $0.7 million in fiscal 2011, compared to $6.8 million in fiscal 2010. The decrease in other income (expense), net was due primarily to lower foreign exchange and hedging gains in fiscal 2011, compared to fiscal 2010. The primary components of other income (expense), net include net foreign currency translation gain of $3.1 million partially offset by aggregate losses on minority investments in Blade Dynamics and Tres Amigas of $2.4 million for fiscal 2011.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recorded income tax expense of $1.4 million during fiscal 2011, compared to $16.0 million during fiscal 2010. The decrease in income tax expense was driven by lower income in foreign jurisdictions. Certain asset write-offs in our foreign jurisdictions are considered permanent differences and are not tax deductible.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57" w:lineRule="auto"/>
        <w:rPr>
          <w:sz w:val="20"/>
          <w:szCs w:val="20"/>
          <w:color w:val="auto"/>
        </w:rPr>
      </w:pPr>
      <w:r>
        <w:rPr>
          <w:rFonts w:ascii="Arial" w:cs="Arial" w:eastAsia="Arial" w:hAnsi="Arial"/>
          <w:sz w:val="15"/>
          <w:szCs w:val="15"/>
          <w:color w:val="auto"/>
        </w:rPr>
        <w:t>asset write-offs, such as inventory and prepaid value added taxes in China in fiscal 2010, are not currently deductible and result in deferred tax assets. Due to uncertainty around the realizability of these deferred tax assets, they have been fully reserved as of fiscal years ended March 31, 2011 and March 31, 2012.</w:t>
      </w:r>
    </w:p>
    <w:p>
      <w:pPr>
        <w:ind w:right="100" w:firstLine="456"/>
        <w:spacing w:after="0" w:line="268" w:lineRule="auto"/>
        <w:rPr>
          <w:sz w:val="20"/>
          <w:szCs w:val="20"/>
          <w:color w:val="auto"/>
        </w:rPr>
      </w:pPr>
      <w:r>
        <w:rPr>
          <w:rFonts w:ascii="Arial" w:cs="Arial" w:eastAsia="Arial" w:hAnsi="Arial"/>
          <w:sz w:val="18"/>
          <w:szCs w:val="18"/>
          <w:color w:val="auto"/>
        </w:rPr>
        <w:t>Please refer to the “Risk Factors” section in Part I, Item 1A, for a discussion of certain factors that may affect our future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2011 and March 31,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Total revenues decreased by 9% to $286.6 million in fiscal 2010 from $316.0 million for fiscal 2009. Our revenues are summarized as follows (in thousands):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Fiscal Years Ended</w:t>
            </w:r>
          </w:p>
        </w:tc>
      </w:tr>
      <w:tr>
        <w:trPr>
          <w:trHeight w:val="161"/>
        </w:trPr>
        <w:tc>
          <w:tcPr>
            <w:tcW w:w="8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44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$231,761</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$251,487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Grid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54,842</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64,468</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286,603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315,955</w:t>
            </w:r>
          </w:p>
        </w:tc>
        <w:tc>
          <w:tcPr>
            <w:tcW w:w="100" w:type="dxa"/>
            <w:vAlign w:val="bottom"/>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Wind business unit accounted for 81% and 80% of total revenues for fiscal 2010 and 2009, respectively. Revenues in the Wind business unit decreased 8% to $231.8 million in fiscal 2010 from $251.5 million in fiscal 2009. Wind business unit revenues were negatively impacted by the March 31, 2011 refusal by Sinovel to accept contracted shipments of 1.5 megawatt (MW) and 3 MW wind turbine core electrical components and spare parts that we were prepared to deliver with a potential revenue value of approximately $65.2 million. In conjunction with the application of cash basis accounting for certain of our other customers in China beginning in the three months ended September 30, 2010 and Sinovel beginning in the three months ended December 31, 2010, cash received is applied first against accounts receivable balances, then costs of shipments (inventory and value added taxes) before recognizing any gross margin. This resulted in additional decreases in revenue recognized from Sinovel and certain of our other customers in China during fiscal 2010. Revenues from Sinovel were $194.8 million and $221.8 million in fiscal 2010 and 2009, respectively. Based on the average Euro and Renminbi exchange rates in fiscal 2010, revenues denominated in these foreign currencies translated into U.S. dollars were $2.1 million higher compared to the translation of these revenues using the average exchange rates of these currencies for fiscal 2009.</w:t>
      </w:r>
    </w:p>
    <w:p>
      <w:pPr>
        <w:spacing w:after="0" w:line="4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Grid business unit accounted for 19% and 20% of revenues for fiscal 2010 and 2009, respectively. Grid revenue decreased 15% to $54.8 million in fiscal 2010 from $64.5 million in fiscal 2009. The decrease in revenues was driven primarily by lower D-VAR</w:t>
      </w:r>
      <w:r>
        <w:rPr>
          <w:rFonts w:ascii="Arial" w:cs="Arial" w:eastAsia="Arial" w:hAnsi="Arial"/>
          <w:sz w:val="11"/>
          <w:szCs w:val="11"/>
          <w:color w:val="auto"/>
        </w:rPr>
        <w:t>®</w:t>
      </w:r>
      <w:r>
        <w:rPr>
          <w:rFonts w:ascii="Arial" w:cs="Arial" w:eastAsia="Arial" w:hAnsi="Arial"/>
          <w:sz w:val="18"/>
          <w:szCs w:val="18"/>
          <w:color w:val="auto"/>
        </w:rPr>
        <w:t xml:space="preserve"> RT revenues and turn-key D-VAR</w:t>
      </w:r>
      <w:r>
        <w:rPr>
          <w:rFonts w:ascii="Arial" w:cs="Arial" w:eastAsia="Arial" w:hAnsi="Arial"/>
          <w:sz w:val="11"/>
          <w:szCs w:val="11"/>
          <w:color w:val="auto"/>
        </w:rPr>
        <w:t>®</w:t>
      </w:r>
      <w:r>
        <w:rPr>
          <w:rFonts w:ascii="Arial" w:cs="Arial" w:eastAsia="Arial" w:hAnsi="Arial"/>
          <w:sz w:val="18"/>
          <w:szCs w:val="18"/>
          <w:color w:val="auto"/>
        </w:rPr>
        <w:t xml:space="preserve"> revenues in the US, partially offset by revenue from a large Australian D-VAR</w:t>
      </w:r>
      <w:r>
        <w:rPr>
          <w:rFonts w:ascii="Arial" w:cs="Arial" w:eastAsia="Arial" w:hAnsi="Arial"/>
          <w:sz w:val="11"/>
          <w:szCs w:val="11"/>
          <w:color w:val="auto"/>
        </w:rPr>
        <w:t>®</w:t>
      </w:r>
      <w:r>
        <w:rPr>
          <w:rFonts w:ascii="Arial" w:cs="Arial" w:eastAsia="Arial" w:hAnsi="Arial"/>
          <w:sz w:val="18"/>
          <w:szCs w:val="18"/>
          <w:color w:val="auto"/>
        </w:rPr>
        <w:t xml:space="preserve"> project in fiscal 2010 . Revenues from significant Grid government-funded contract revenues are summarized as follows (in thousands):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Revenue Earned for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85"/>
              </w:rPr>
              <w:t>Revenue Earned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line="141" w:lineRule="exact"/>
              <w:rPr>
                <w:sz w:val="20"/>
                <w:szCs w:val="20"/>
                <w:color w:val="auto"/>
              </w:rPr>
            </w:pPr>
            <w:r>
              <w:rPr>
                <w:rFonts w:ascii="Arial" w:cs="Arial" w:eastAsia="Arial" w:hAnsi="Arial"/>
                <w:sz w:val="14"/>
                <w:szCs w:val="14"/>
                <w:b w:val="1"/>
                <w:bCs w:val="1"/>
                <w:color w:val="auto"/>
                <w:w w:val="88"/>
              </w:rPr>
              <w:t>the Year Ended</w:t>
            </w:r>
          </w:p>
        </w:tc>
        <w:tc>
          <w:tcPr>
            <w:tcW w:w="0" w:type="dxa"/>
            <w:vAlign w:val="bottom"/>
          </w:tcPr>
          <w:p>
            <w:pPr>
              <w:spacing w:after="0"/>
              <w:rPr>
                <w:sz w:val="1"/>
                <w:szCs w:val="1"/>
                <w:color w:val="auto"/>
              </w:rPr>
            </w:pPr>
          </w:p>
        </w:tc>
      </w:tr>
      <w:tr>
        <w:trPr>
          <w:trHeight w:val="142"/>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Project Name</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Expected Total</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w w:val="98"/>
              </w:rPr>
              <w:t>through</w:t>
            </w: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center"/>
              <w:ind w:right="432"/>
              <w:spacing w:after="0" w:line="142"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gridSpan w:val="3"/>
            <w:vMerge w:val="continue"/>
          </w:tcPr>
          <w:p>
            <w:pPr>
              <w:spacing w:after="0"/>
              <w:rPr>
                <w:sz w:val="12"/>
                <w:szCs w:val="12"/>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Contract Value</w:t>
            </w:r>
          </w:p>
        </w:tc>
        <w:tc>
          <w:tcPr>
            <w:tcW w:w="740" w:type="dxa"/>
            <w:vAlign w:val="bottom"/>
          </w:tcPr>
          <w:p>
            <w:pPr>
              <w:spacing w:after="0"/>
              <w:rPr>
                <w:sz w:val="12"/>
                <w:szCs w:val="12"/>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March 31, 2011</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Pr>
          <w:p>
            <w:pPr>
              <w:spacing w:after="0"/>
              <w:rPr>
                <w:sz w:val="12"/>
                <w:szCs w:val="12"/>
                <w:color w:val="auto"/>
              </w:rPr>
            </w:pPr>
          </w:p>
        </w:tc>
        <w:tc>
          <w:tcPr>
            <w:tcW w:w="120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HYDRA</w:t>
            </w:r>
          </w:p>
        </w:tc>
        <w:tc>
          <w:tcPr>
            <w:tcW w:w="4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24,908</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10,552</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979</w:t>
            </w: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LIPA I and II</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40,141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38,401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4,050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DOE-FCL</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NAVSEA Motor Study</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7,456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significant projects represented 14% and 11% of our Grid business unit’s revenue for fiscal 2010 and 2009,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Of the total $24.9 million in funding expected from Department of Homeland Security (“DHS”) as of March 31, 2011, DHS has committed funding of $12.6 million to us as of that date.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Cost of revenues increased by 53% to $308.2 million for fiscal 2010, compared to $201.0 million for fiscal 2009. Gross margin decreased to (7.5)% in fiscal 2010 from 36.4% in fiscal 2009. Cost of revenues in fiscal 2010 was negatively impacted by $102.7 million in non-recurring charges relating to the write-off of inventory and the recording of a liability for adverse purchase commitments in connection with the situation with Sinovel. The decrease in gross margin in fiscal 2010 as compared to fiscal 2009 was primarily attributed to the write-offs described above and the application of cash basis accounting for Sinovel and certain of our other customers in China beginning in the three months ended December 31, 2010. Cash received is applied first against accounts receivable balances, then costs of shipments (inventory and value added taxes) before recognizing any gross margin. This resulted in decreases in revenues, cost of revenues and gross margin from Sinovel and certain of our other customers in China during the fiscal year ended March 31, 2011.</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average Euro and Renminbi exchange rates in fiscal 2010, costs of revenues denominated in these foreign currencies translated into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dollars were $3.8 million higher compared to the translation of these cost of revenues using the average exchange rates of these currencies for fiscal 2009.</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R&amp;D expenditures are summarized as follows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Fiscal Years Ended</w:t>
            </w:r>
          </w:p>
        </w:tc>
      </w:tr>
      <w:tr>
        <w:trPr>
          <w:trHeight w:val="161"/>
        </w:trPr>
        <w:tc>
          <w:tcPr>
            <w:tcW w:w="874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expenses per consolidated statements of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$32,517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$23,593</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18,012</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Aggregated R&amp;D expenses</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50,969</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39,433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increased by 38% to $32.5 million, or 11% of revenue, for fiscal 2010 from $23.6 million, or 7% of revenue, for fiscal 2009. The increase in R&amp;D expenses was driven primarily by increased headcount and related labor spending, as well as added material and overhead spending to support new product development in our Wind business unit. The increase in R&amp;D expenditures reclassified to cost of revenue was a result of increased efforts under license and development contracts for wind turbine designs at AMSC Austria compared to the prior year. Aggregated R&amp;D expenses, which include amounts classified as cost of revenues and amounts offset by cost-sharing funding, increased 29% to $51.0 million, or 18% of revenue, for fiscal 2010, compared to $39.4 million, or 12% of revenue, for fiscal 2009. The increase in fiscal 2010 was driven primarily by the net impact of the factors described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SG&amp;A expenses increased by 43% to $72.4 million, or 25% of revenue, in fiscal 2010 from $50.4 million, or 16% of revenue, in fiscal 2009. The increase in SG&amp;A expenses was primarily attributed to write-offs of certain prepaid value added taxes due to collectability not being reasonably assured for prior shipments to certain customers in China, as well as higher labor and related costs driven by headcount growth and costs incurred related to the implementation of our new enterprise resource planning system. Also included in the accompanying consolidated statements of operations for the year ended March 31, 2011 are acquisition-related costs of approximately $1.0 million related to the proposed acquisition of The Switch.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acquisition related intangibles</w:t>
      </w:r>
    </w:p>
    <w:p>
      <w:pPr>
        <w:spacing w:after="0" w:line="90" w:lineRule="exact"/>
        <w:rPr>
          <w:sz w:val="20"/>
          <w:szCs w:val="20"/>
          <w:color w:val="auto"/>
        </w:rPr>
      </w:pPr>
    </w:p>
    <w:p>
      <w:pPr>
        <w:jc w:val="both"/>
        <w:ind w:right="760" w:firstLine="456"/>
        <w:spacing w:after="0" w:line="259" w:lineRule="auto"/>
        <w:rPr>
          <w:sz w:val="20"/>
          <w:szCs w:val="20"/>
          <w:color w:val="auto"/>
        </w:rPr>
      </w:pPr>
      <w:r>
        <w:rPr>
          <w:rFonts w:ascii="Arial" w:cs="Arial" w:eastAsia="Arial" w:hAnsi="Arial"/>
          <w:sz w:val="18"/>
          <w:szCs w:val="18"/>
          <w:color w:val="auto"/>
        </w:rPr>
        <w:t>We recorded $1.5 million in fiscal 2010 and $1.8 million in fiscal 2009 in amortization related to our contractual relationships/backlog, customer relationships, core technology and know-how, trade names and trademark intangible assets. These intangible assets are a result of our Windtec and PQS acquisitions.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 and impairments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performed our annual assessment of goodwill of the Windtec and PSNA reporting units on March 31, 2011. As a result of reductions in our revenue and operating forecasts related to Sinovel and certain of our other customers in China, we determined that the goodwill related to both the Windtec and PSNA reporting units was fully impaired. Accordingly, we recorded impairment charges of $42.1 million and $6.9 million for the Windtec and PSNA reporting units, respectively, during the fourth quarter of fiscal 2010.</w:t>
      </w:r>
    </w:p>
    <w:p>
      <w:pPr>
        <w:spacing w:after="0" w:line="62" w:lineRule="exact"/>
        <w:rPr>
          <w:sz w:val="20"/>
          <w:szCs w:val="20"/>
          <w:color w:val="auto"/>
        </w:rPr>
      </w:pPr>
    </w:p>
    <w:p>
      <w:pPr>
        <w:jc w:val="both"/>
        <w:ind w:right="460" w:firstLine="456"/>
        <w:spacing w:after="0" w:line="298" w:lineRule="auto"/>
        <w:rPr>
          <w:sz w:val="20"/>
          <w:szCs w:val="20"/>
          <w:color w:val="auto"/>
        </w:rPr>
      </w:pPr>
      <w:r>
        <w:rPr>
          <w:rFonts w:ascii="Arial" w:cs="Arial" w:eastAsia="Arial" w:hAnsi="Arial"/>
          <w:sz w:val="16"/>
          <w:szCs w:val="16"/>
          <w:color w:val="auto"/>
        </w:rPr>
        <w:t>In connection with the assessment of the goodwill of the Windtec and PSNA reporting units, we performed an evaluation of our long-lived assets and intangible assets for potential impairment during the fourth quarter of fiscal 2010. As a result of reductions in our revenue and operating forecasts related to Sinovel and certain of our other customers in China, we determined that certain of our property, plant and equipment and intangible assets were impaired. Accordingly, we recorded impairment charges of $1.0 million during the fourth quarter of fiscal 2010.</w:t>
      </w:r>
    </w:p>
    <w:p>
      <w:pPr>
        <w:spacing w:after="0" w:line="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 Aggregate restructuring charges associated with the Fiscal 2007 Plan were $7.9 million, of which $0.5 million was recorded in fiscal 2009 related to the closure of our Westborough, Massachusetts facility. All restructuring charges associated with the Fiscal 2007 Plan have resulted in cash disbursements and had been completed at the end of the second quarter of fiscal 2009. Cash paid under this plan was $0 in fiscal 2010 and $2.6 million in fiscal 2009.</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is summarized as follows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61"/>
        </w:trPr>
        <w:tc>
          <w:tcPr>
            <w:tcW w:w="848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$(100,546)</w:t>
            </w:r>
          </w:p>
        </w:tc>
        <w:tc>
          <w:tcPr>
            <w:tcW w:w="5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Grid</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(63,855)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(37,828)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(13,582)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(177,983)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$ 38,661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Wind generated an operating loss of $100.5 in fiscal 2010 compared to operating income of $91.0 million in fiscal 2009. The decrease in operating income in fiscal 2010 was primarily attributable to Sinovel’s refusal to accept shipments on March 31, 2011, which resulted in lower revenues, the charges recorded in fiscal 2010 related to the situation with Sinovel, and the application of cash basis accounting for certain of our customers in China.</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Grid operating loss increased to $63.9 million in fiscal 2010 from $37.8 million in fiscal 2009. The increase in operating loss for fiscal 2010 is primarily due to lower sales, as described above.</w:t>
      </w:r>
    </w:p>
    <w:p>
      <w:pPr>
        <w:spacing w:after="0" w:line="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Unallocated corporate expenses include stock-based compensation expense of $13.4 million for fiscal 2010 compared to $13.5 million for fiscal 2009. Unallocated corporate expenses also include $0.5 million of restructuring charges in fiscal 2009 related primarily to the closure of our facility in Westborough, Massachusetts.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income, net, was $0.8 million for both fiscal years 2010 and 2009, respectively. Due to recent economic conditions and the United States monetary policy intended to promote growth, the yields of our interest bearing assets are low as compared to prior periods.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income (expense), net, was $6.8 million in fiscal 2010, compared to a loss, net of $2.7 million in fiscal 2009. The increase in other income (expense), net was due primarily to net foreign exchange and hedging gains in fiscal 2010, compared to losses in fiscal 2009. The primary components of other income (expense), net include net foreign currency translation and hedging gains, of $8.0 million and aggregate losses on minority investments in Blade Dynamics and Tres Amigas of $1.4 million for fiscal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income tax expense of $16.0 million during fiscal 2010 and $20.5 million during fiscal 2009. Income tax expense in both periods was primarily driven by income generated in foreign jurisdictions. Certain asset write-offs in our foreign jurisdictions such as goodwill in fiscal 2010 are considered permanent differences and are not tax deductible. Other asset write-offs in fiscal 2010, such as inventory and prepaid value added taxes in China, are not currently deductible and result in deferred tax assets. Due to uncertainty around the realizability of these deferred tax assets, they have been fully reserved as of March 31,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10-K, however, should be considered in addition to, and not as a substitute for, or superior to, the comparable measure prepared in accordance with GAAP.</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define non-GAAP net (loss) income as net (loss) income before amortization of acquisition-related intangibles, restructuring and impairments, stock-based compensation, other unusual charges and any tax effects related to these items.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effectiveness of our business strategies. A reconciliation of non-GAAP to GAAP net (loss) income is set forth in the table below (in thousands,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March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(136,827)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(186,284)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Goodwill and long-lived asset impairment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49,955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excess and obsolete inventory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63,882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Adverse purchase commitment (recoveries) losses,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38,763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prepaid value added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13,412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13,494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9,188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severance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Sinovel litigation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 on zero cost-basis accounting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Patent costs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advance payment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Tax effects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(loss)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(85,516)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(12,818)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31,653</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ind w:left="460"/>
              <w:spacing w:after="0"/>
              <w:rPr>
                <w:sz w:val="20"/>
                <w:szCs w:val="20"/>
                <w:color w:val="auto"/>
              </w:rPr>
            </w:pPr>
            <w:r>
              <w:rPr>
                <w:rFonts w:ascii="Arial" w:cs="Arial" w:eastAsia="Arial" w:hAnsi="Arial"/>
                <w:sz w:val="18"/>
                <w:szCs w:val="18"/>
                <w:color w:val="auto"/>
              </w:rPr>
              <w:t>Non-GAAP (loss) earnings per share</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3"/>
            <w:vMerge w:val="continue"/>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45,290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Diluted shares are used for periods where net income is generated.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generated non-GAAP net loss of ($85.5) million, or ($1.68) per share, for fiscal 2011, compared to ($12.8) million, or ($0.27) per share, for fiscal 2010 and a non-GAAP net income of $31.7 million, or $0.70 per share, for fiscal 2009. The increase in non-GAAP net (loss) in fiscal 2011 over 2010 was primarily related to lower revenues and the effect of the large write-offs in fiscal 2010 related to the Sinovel matter, including goodwill and long-lived asset impairments, provisions for excess and obsolete inventory, adverse purchase commitments and write-off of prepaid value-added taxes, which totaled $158.5 million in the aggregate. The decrease in non-GAAP net income in fiscal 2010 over 2009 was primarily related to an increased expense base assuming a normalized business relationship with Sinovel and shipments of $65.9 million to certain Chinese customers in fiscal 2010 not recognized as revenue as collectability was not reasonably assured and in some cases, the fee for shipments of products to these customers was not fixed or determinable at the time of shipment.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80" w:firstLine="456"/>
        <w:spacing w:after="0" w:line="331" w:lineRule="auto"/>
        <w:rPr>
          <w:sz w:val="20"/>
          <w:szCs w:val="20"/>
          <w:color w:val="auto"/>
        </w:rPr>
      </w:pPr>
      <w:r>
        <w:rPr>
          <w:rFonts w:ascii="Arial" w:cs="Arial" w:eastAsia="Arial" w:hAnsi="Arial"/>
          <w:sz w:val="16"/>
          <w:szCs w:val="16"/>
          <w:color w:val="auto"/>
        </w:rPr>
        <w:t>At March 31, 2012, we had cash, cash equivalents, marketable securities and restricted cash of $66.2 million, compared to $245.5 million at March 31, 2011, a decrease of $179.3 million. Our cash, cash equivalents, marketable securities and restricted cash are summarized as follows (in thousands):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$46,279</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$123,783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8"/>
                <w:szCs w:val="18"/>
                <w:color w:val="auto"/>
                <w:w w:val="88"/>
              </w:rPr>
              <w:t>Total cash, cash equivalents, marketable securities and restricted cash</w:t>
            </w:r>
          </w:p>
        </w:tc>
        <w:tc>
          <w:tcPr>
            <w:tcW w:w="4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66,209</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520" w:type="dxa"/>
            <w:vAlign w:val="bottom"/>
            <w:vMerge w:val="restart"/>
          </w:tcPr>
          <w:p>
            <w:pPr>
              <w:jc w:val="right"/>
              <w:ind w:right="3112"/>
              <w:spacing w:after="0"/>
              <w:rPr>
                <w:sz w:val="20"/>
                <w:szCs w:val="20"/>
                <w:color w:val="auto"/>
              </w:rPr>
            </w:pPr>
            <w:r>
              <w:rPr>
                <w:rFonts w:ascii="Arial" w:cs="Arial" w:eastAsia="Arial" w:hAnsi="Arial"/>
                <w:sz w:val="18"/>
                <w:szCs w:val="18"/>
                <w:color w:val="auto"/>
              </w:rPr>
              <w:t>41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we had approximately $14.2 million of cash, cash equivalents, marketable securities and restricted cash in foreign bank accounts.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decrease in total cash and cash equivalents, marketable securities and restricted cash was due primarily to the adverse change in our business in fiscal 2011 as a result of the situation with Sinovel.</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fiscal 2011, net cash used in operating activities was $141.0 million, compared to $22.8 million in fiscal 2010. The increase in cash used by operations is due primarily to an increased net loss adjusted for non-cash charges and increase cash used for working capital, primarily due to the pay down of vendor liabilities for inventory purchased to support Sinovel.</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fiscal 2011, net cash provided by investing activities was $63.3 million, compared to net cash used in investing activities of $104.8 million in fiscal 2010. The increase in cash provided by investing activities was driven primarily by a decrease in the net purchases of marketable securities of $163.2 million and a decrease in capital expenditures of $30.0 million, partially offset by a $20.6 million advance payment to The Switch, which was subsequently written off, and an increase in restricted cash of $9.3 million.</w:t>
      </w:r>
    </w:p>
    <w:p>
      <w:pPr>
        <w:spacing w:after="0" w:line="6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fiscal 2011, cash provided by financing activities was $0.1 million, compared to $163.1 million provided by financing activities in fiscal 2010. The decrease in cash provided by financing activities is primarily due to the net proceeds from our public equity offering of $155.2 million in fiscal 2010 and a decrease in proceeds from the exercise of employee stock options of $7.5 million.</w:t>
      </w:r>
    </w:p>
    <w:p>
      <w:pPr>
        <w:spacing w:after="0" w:line="5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March 31, 2012 and 2011, we had $12.1 million and $5.6 million, respectively, of restricted cash included in current assets, and $2.5 of restricted cash included in long-term assets as of March 31, 2012. These amounts included in restricted cash primarily represent deposits to secure letters of credit for various supply contracts. These deposits are held in interest bearing accounts.</w:t>
      </w:r>
    </w:p>
    <w:p>
      <w:pPr>
        <w:spacing w:after="0" w:line="5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2012, we had five performance bonds in support of customer contracts. The total value of the outstanding performance bonds is $0.8 million with expiration dates through March 2014. In the event that the payment is made in accordance with the requirements of any of these performance bonds, we would record the payment as an offset to revenue.</w:t>
      </w:r>
    </w:p>
    <w:p>
      <w:pPr>
        <w:spacing w:after="0" w:line="5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had unused, unsecured lines of credit consisting of €2.3 million (approximately $3.1 million) in Austria as of March 31, 2012. During the year ended March 31, 2012, our unsecured credit line with the Bank of China approximately RMB 100.0 million (approximately $15.2 million), expired and we repaid borrowings of $4.6 million. There were no borrowings with the Bank of China outstanding as of March 31, 2012.</w:t>
      </w:r>
    </w:p>
    <w:p>
      <w:pPr>
        <w:spacing w:after="0" w:line="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March 31, 2012, we had cash, cash equivalents, and marketable securities of $51.6 million. We experienced a substantial decline in revenues, incurred a net loss of $136.8 million and used $141.0 million of cash for operations during the fiscal year ended March 31, 2012. As a result, we reduced our global workforce by approximately 50% and consolidated certain business operations in three locations to reduce facility costs. As of March 31, 2012, we had a global workforce of approximately 400 persons.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expect that our cost reduction efforts and anticipated revenue growth will result in a substantial reduction in cash used for operations during the fiscal year ended March 31, 2013. We plan to closely monitor our expenses and if required, expect to further reduce operating costs and capital spending to enhance liquidity. At March 31, 2012, we had accrued liabilities related to adverse purchase commitments for inventory totaling $25.9 million. We are working with our inventory suppliers to delay cash settlements and to reduce the gross liability associated with our adverse purchase commitments. During the quarter ending June 30, 2012, we agreed to provide certain vendors with letters of credit in the amount of approximately $9.0 million which resulted in additional restricted cash of approximately $8.5 million and a reduction of our adverse purchase commitments liability of $7.4 million.</w:t>
      </w:r>
    </w:p>
    <w:p>
      <w:pPr>
        <w:spacing w:after="0" w:line="3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April 4, 2012, we completed a private placement of $25.0 million of 7% senior convertible notes (“Notes”). See Note 18, “Subsequent Events,” for further information regarding our private placement of Notes. The Notes contain certain covenants and restrictions, including, among others, that for so long as the Notes are outstanding, we will not incur any indebtedness (other than permitted indebtedness under the Notes), permit liens on our properties (other than permitted liens under the Notes), make payments on junior securities or make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dividends. The Notes also contain limitations on the transfer of certain assets. Events of default under the Notes include failure to pay principal or interest as due on the Notes, failure to deliver registered shares of common stock upon the holders request for conversion of part or all of the Notes, failure to maintain our common stock eligible for trading on defined markets, cross defaults to other material indebtedness, receipt of uninsured judgments against us in excess of defined limits and other administrative covenants, as defined in the Notes and related documentation. Upon an event of default, the holders may require us to redeem all or any portion of the outstanding principal amount of the Notes in cash plus a penalty specified in the agreement. In addition, if we fail to maintain an effective registration statement covering common stock to be used in settling obligations under the Notes, we will be required to pay a penalty specified in the agreement.</w:t>
      </w:r>
    </w:p>
    <w:p>
      <w:pPr>
        <w:spacing w:after="0" w:line="6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5, 2012, we entered into a Loan and Security Agreement with Hercules Technology Growth Capital, under which we borrowed $10.0 million. See Note 18, “Subsequent Events,” for further information regarding our loan and security agreement. The loan contains certain covenants and restrictions including, among others, a requirement to maintain a minimum unrestricted cash balance in the U.S. of at least $10.0 million at the inception of the loan, which will decrease starting November 1, 2012 and monthly thereafter by the amount of principal paid.</w:t>
      </w:r>
    </w:p>
    <w:p>
      <w:pPr>
        <w:spacing w:after="0" w:line="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Although we believe that we have the ability to maintain compliance with the Notes and loan covenants and restrictions, there can no assurance that we will be in compliance.</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our available cash, together with additional reductions in operating costs and capital expenditures that we expect to make if necessary, will be sufficient to fund our operations, capital expenditures and any scheduled cash payments under our debt obligations for twelve months from the balance sheet date. Our liquidity is highly dependent on our ability to profitably grow revenues, successfully manage adverse purchase commitments, fund and maintain compliance with the covenants and restrictions on our debt obligations, and raise additional capital, as required. We may seek additional financing however; there can be no assurance that financing will be available on commercially acceptable terms or at all.</w:t>
      </w:r>
    </w:p>
    <w:p>
      <w:pPr>
        <w:spacing w:after="0" w:line="3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involved in legal and administrative proceedings and claims of various types. See Part I, Item 3,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If the loss is not probable or cannot be reasonably estimated, a liability is not recorded in its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Company has various contractual arrangements in which minimum quantities of goods or services have been committed to be purchased on an annual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Operating leases include minimum payments under leases for our facilities and certain equipment, see Item 2, “Properties,” for more information. Purchase commitments represent enforceable and legally binding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agreements with suppliers to purchase goods or services. As of March 31, 2012, we are committed to make the following payments under contractual obligations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Payments Due by Period</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Less than</w:t>
            </w:r>
          </w:p>
        </w:tc>
        <w:tc>
          <w:tcPr>
            <w:tcW w:w="800" w:type="dxa"/>
            <w:vAlign w:val="bottom"/>
            <w:gridSpan w:val="2"/>
          </w:tcPr>
          <w:p>
            <w:pPr>
              <w:jc w:val="right"/>
              <w:ind w:right="126"/>
              <w:spacing w:after="0" w:line="129"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3-</w:t>
            </w:r>
          </w:p>
        </w:tc>
        <w:tc>
          <w:tcPr>
            <w:tcW w:w="6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1 Year</w:t>
            </w:r>
          </w:p>
        </w:tc>
        <w:tc>
          <w:tcPr>
            <w:tcW w:w="3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3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5 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 commitments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$46,962</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$44,979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leases (rent)</w:t>
            </w:r>
          </w:p>
        </w:tc>
        <w:tc>
          <w:tcPr>
            <w:tcW w:w="580" w:type="dxa"/>
            <w:vAlign w:val="bottom"/>
          </w:tcPr>
          <w:p>
            <w:pPr>
              <w:jc w:val="right"/>
              <w:spacing w:after="0"/>
              <w:rPr>
                <w:sz w:val="20"/>
                <w:szCs w:val="20"/>
                <w:color w:val="auto"/>
              </w:rPr>
            </w:pPr>
            <w:r>
              <w:rPr>
                <w:rFonts w:ascii="Arial" w:cs="Arial" w:eastAsia="Arial" w:hAnsi="Arial"/>
                <w:sz w:val="18"/>
                <w:szCs w:val="18"/>
                <w:color w:val="auto"/>
              </w:rPr>
              <w:t>3,754</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1,201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2,283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Total contractual obligations</w:t>
            </w: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50,892</w:t>
            </w:r>
          </w:p>
        </w:tc>
        <w:tc>
          <w:tcPr>
            <w:tcW w:w="6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46,275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During fiscal 2010, we recorded losses on certain purchase commitments of $38.8 million to cost of revenues as a result of commitments to purchase materials that were in excess of our estimated future proceeds from sales to certain of our customers in China. As of March 31, 2012, the liability for these purchase commitments has been reduced to $25.9 million, which is due in less than a year.</w:t>
      </w:r>
    </w:p>
    <w:p>
      <w:pPr>
        <w:spacing w:after="0" w:line="59"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addition, during the fourth quarter of fiscal 2011, several vendors notified us that they had suffered losses as a result of procuring safety stock in anticipation of receiving future purchase orders or contracts from us. We have accrued outstanding adverse purchase commitments based on legally binding contracts and purchase orders that were placed with our vendors for parts with no future demand. The vendor claims for safety stock were not supported by valid purchase orders or executed contracts and not considered part of the adverse purchase commitment liability. The claims for safety stock have not been accrued as of March 31, 2012. We have determined that although we believe that there is no legally enforceable contract for safety stock and will continue to defend our legal position that we do not owe amounts for safety stock, that it is reasonably possible that a case may be made against us under certain situations. As the loss is reasonably possible but not probable, we have not accounted for the loss. We have determined that the range for this potential loss is between $0 and $4 million.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December 2010, the FASB issued Accounting Standards Update (ASU) No. 2010-29, </w:t>
      </w:r>
      <w:r>
        <w:rPr>
          <w:rFonts w:ascii="Arial" w:cs="Arial" w:eastAsia="Arial" w:hAnsi="Arial"/>
          <w:sz w:val="16"/>
          <w:szCs w:val="16"/>
          <w:i w:val="1"/>
          <w:iCs w:val="1"/>
          <w:color w:val="auto"/>
        </w:rPr>
        <w:t>Business Combinations (Topic 805), Disclosure of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Pro forma Information for Business Combinations a consensus of the FASB Emerging Issues Task Force (ASC 2010-29)</w:t>
      </w:r>
      <w:r>
        <w:rPr>
          <w:rFonts w:ascii="Arial" w:cs="Arial" w:eastAsia="Arial" w:hAnsi="Arial"/>
          <w:sz w:val="16"/>
          <w:szCs w:val="16"/>
          <w:color w:val="auto"/>
        </w:rPr>
        <w:t>. This amendment clarifies the periods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adoption of ASU 2010-29 did not have a material impact on our consolidated results of operations, financial condition, or cash flows.</w:t>
      </w:r>
    </w:p>
    <w:p>
      <w:pPr>
        <w:spacing w:after="0" w:line="3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early adopted ASU 2011-05 and it did not have a material impact on our consolidated results of operations, financial condition, or cash flows.</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In September 2011, the FASB issued Accounting Standards Update No. 2011-08,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assessment and proceed directly to performing the first step of the goodwill impairment test. ASU 2011-08 is effective for our first quarter of fiscal 2013 but is eligible for early adoption. We do not believe adoption of this standard will have an impact on our consolidated results of operations, financial condition, or cash flows.</w:t>
      </w:r>
    </w:p>
    <w:p>
      <w:pPr>
        <w:spacing w:after="0" w:line="5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We are currently evaluating the impact of adopting ASU 2011-11, but currently believe there will be no significant impact on our consolidated results of operations, financial condition, or cash flows.</w:t>
      </w:r>
    </w:p>
    <w:p>
      <w:pPr>
        <w:spacing w:after="0" w:line="32" w:lineRule="exact"/>
        <w:rPr>
          <w:sz w:val="20"/>
          <w:szCs w:val="20"/>
          <w:color w:val="auto"/>
        </w:rPr>
      </w:pPr>
    </w:p>
    <w:p>
      <w:pPr>
        <w:ind w:right="1900" w:firstLine="456"/>
        <w:spacing w:after="0" w:line="391" w:lineRule="auto"/>
        <w:rPr>
          <w:sz w:val="20"/>
          <w:szCs w:val="20"/>
          <w:color w:val="auto"/>
        </w:rPr>
      </w:pPr>
      <w:r>
        <w:rPr>
          <w:rFonts w:ascii="Arial" w:cs="Arial" w:eastAsia="Arial" w:hAnsi="Arial"/>
          <w:sz w:val="18"/>
          <w:szCs w:val="18"/>
          <w:color w:val="auto"/>
        </w:rPr>
        <w:t xml:space="preserve">We do not believe that other recently issued accounting pronouncements will have a material impact on our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35"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Valuation of long-lived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Contingencies;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warranty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recognize revenue for product sales upon customer acceptance, which can occur at the time of delivery, installation, or post-installation, where applicable, provided persuasive evidence of an arrangement exists, delivery has occurred, the sales price is fixed or determinable and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our contracts involve retention amounts which are contingent upon meeting certain performance requirements through the expiration of the contract warranty periods. For contractual arrangements that involve retention, we recognize revenue for these amounts upon the expiration of the warranty period, meeting the performance requirements and when collection of the fee is reasonably assured.</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2010, we determined that a cash basis of accounting was appropriate for certain of our customers in China, except Sinovel, after June 30, 2010 and for Sinovel, after September 30, 2010. Under this method of accounting, cash is applied first against accounts receivable balances, then costs of shipments (inventory and value added taxes) before recognizing any gross margin. No shipments were made to these customers in the fiscal year ended March 31, 2012. Payments of $5.2 million were received from these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fiscal year ended March 31, 2012, for past shipments and recorded as revenue. We had previously recognized revenues for those customers based on the receipt of shipments but prior to its receipt of payment for such shipments.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certain arrangements, such as prototype development contracts and certain product sales, we record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completed-contract method.</w:t>
      </w:r>
    </w:p>
    <w:p>
      <w:pPr>
        <w:spacing w:after="0" w:line="39"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For sales that involve the delivery of multiple elements, we allocate revenue to each undelivered element based on the element’s fair value as determined by vendor-specific objective evidence (“VSOE”), which is the price charged when that element is sold separately, or third-party evidence (“TPE”). When VSOE and TPE are unavailable, fair value is based on our best estimate of selling price. When our estimates are used to determine fair value, management makes its estimates using reasonable and objective evidence to determine the price utilizing a cost plus reasonable margin consistent with how we have set our pricing historically for similar products and services. We review VSOE and TPE at least annually. If we conclude we are unable to 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 We adopted this new accounting standard on April 1, 2010 using the prospective method, and the adoption did not have a material impact on our consolidated financial statements.</w:t>
      </w:r>
    </w:p>
    <w:p>
      <w:pPr>
        <w:spacing w:after="0" w:line="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occasionally enter into construction contracts that include a performance bond or similar security. As these contracts progress, we continually assess the probability of a payout from these securities. Should we determine that such a payout is likely, we would record a liability and reduce revenue to the extent a liability is recorded.</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enter into certain arrangements to license our technologies and to provide training services. We have determined that the license has no standalone value to the customer and is not separable from the training. Accordingly, we account for these arrangements as a single unit of accounting, following the revenue recognition pattern of the last deliverable of the arrangement and recognize revenue over the period of our performance and milestones that have been achieved. Costs for these arrangements are expensed as incurred.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elected to record taxes collected from customers on a net basis and do not include tax amounts in revenue or costs of revenue.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Accounts receivable consist of amounts owed by commercial companies and government agencies. Accounts receivable are stated net of allowances for doubtful accounts. Our accounts receivable relate principally to a limited number of customers. Changes in the financial condition or operations of our customers may result in increased delayed payments or non-payments which would adversely impact our cash flows from operating activities and/or our results of operations. As such we may require collateral, advanced payment or other security based upon the customer history and/or creditworthiness. In determining the allowance for doubtful accounts, we evaluate the collectability of accounts receivable based primarily on the probability of recoverability based on historical collection and write-off experience, the age of past due receivables, specific customer circumstances,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and current economic trends. If the financial condition of our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or market determined on a first-in, first-out basis. We record inventory when we take delivery and title to the product.</w:t>
      </w:r>
    </w:p>
    <w:p>
      <w:pPr>
        <w:spacing w:after="0" w:line="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At each balance sheet date, we evaluate our ending inventories for excess quantities and obsolescence. Inventories that management consider excess or obsolete are written down.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recorded an inventory write-down of $4.4 million during fiscal 2011 based on evaluating our ending inventories for excess quantities and obsolescence. We recorded an inventory write-down of approximately $63.9 million during fiscal 2010 based on our evaluation of forecasted demand in relation to the inventory on hand and market conditions surrounding our products as a result of the assumption that Sinovel and certain other customers in China would fail to meet their contractual obligations and demand that was previously forecasted would fail to materialize. If in any period we are able to sell inventories that were not valued or that had been written down in a previous period, related revenues would be recorded without any offsetting charge to cost of revenues, resulting in a net benefit to its gross margin in that period. In fiscal 2011, $0.8 million was recognized as a net benefit to gross margin for inventory previously written down in fiscal year 2010.</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periodically enter into non-cancelable purchase contracts in order to ensure the availability of materials to support production of our products. Any commitments for products ordered but not yet received are included as purchase commitments in our contractual obligations table. We periodically assess the need to provide for impairment on these purchase contracts and record a loss on purchase commitments when required. During fiscal 2010, we recorded losses of $38.8 million to cost of revenues as a result of commitments to purchase materials that were in excess of our estimated future demand from certain of our customers in China. As of March 31, 2012, the balance of this liability was $25.9 million. During fiscal 2011, we adjusted our accrual for adverse purchase commitments by $1.3 million due to settlements with vendors. Recoveries are recorded in the period that the settlements are executed.</w:t>
      </w:r>
    </w:p>
    <w:p>
      <w:pPr>
        <w:spacing w:after="0" w:line="3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During the fourth quarter of fiscal 2011, several vendors notified us that they had suffered losses as a result of procuring safety stock in anticipation of receiving future purchase orders or contracts from us. We have accrued outstanding adverse purchase commitments based on legally binding contracts and purchase orders that were placed with our vendors for parts with no future demand. The vendor claims for safety stock were not supported by valid purchase orders or executed contracts and not considered part of the adverse purchase commitment liability. The claims for safety stock have not been accrued as of March 31, 2012. We have determined that although we believe that there is no legally enforceable contract for safety stock and will continue to defend our legal position that we do not owe amounts for safety stock, that it is reasonably possible that a case may be made against us under certain situations. As the loss is reasonably possible but not probable, we have not accounted for the loss. We have determined that the range for this potential loss is between $0 and $4 million.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periodically evaluate our long-lived assets consisting principally of fixed and amortizable intangible assets for potential impairment. In accordance with the applicable accounting guidance for the treatment of long-lived assets, we review the carrying value of our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our asset groups involves a significant amount of judgment, assumptions, and estimates. We have three asset groups under our two segments, PSNA, Windtec and Superconductor based on the fact that the individual subsidiary companies that support each reporting unit are dependent on one another such that the lowest level of largely independent cash flows is the reporting unit level. We evaluate our long-lived assets whenever events or circumstances suggest that the carrying amount of an asset or group of assets may not be recoverable from the estimated undiscounted future cash flows.</w:t>
      </w:r>
    </w:p>
    <w:p>
      <w:pPr>
        <w:spacing w:after="0" w:line="3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judgments regarding the existence of impairment indicators are based on market and operational performance. Indicators of potential impairment include:</w:t>
      </w:r>
    </w:p>
    <w:p>
      <w:pPr>
        <w:spacing w:after="0" w:line="5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other impaired assets within a reporting unit;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90"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third quarter of fiscal 2011, we completed certain restructuring activities to reduce costs and to align our strategic priorities to capitalize on near and long-term opportunities in our Grid segment. As a result, we concluded that there were indicators of potential impairment of certain long-lived assets in our Grid segment and therefore conducted an assessment of the recoverability of these assets by comparing the carrying value of the assets to the pre-tax undiscounted cash flows estimated to be generated by those assets over their remaining book useful lives. Based on the calculation performed by management, the sum of the undiscounted cash flows forecasted to be generated by certain assets within its Grid segment were less than the carrying value of those assets. Therefore, there was an indication that certain of our Grid assets were impaired and, as a result, we performed additional analysis. An evaluation of the level of impairment was made by comparing the implied fair value of those definite long-lived tangible and intangible assets of its Grid segment against their carrying values.</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values of the impacted property and equipment were based on what we could reasonably expect to sell each asset from the perspective of a market participant. The determination of the fair value of our property and equipment included estimates and judgments regarding the marketability and ultimate sales price of individual assets. We utilized market data and approximations from comparable analyses to arrive at the estimated fair values of the impacted property and equipment. The fair values of amortization intangible assets related to completed technology were determined using the relief-from-royalty method over the estimated economic lives of those assets from the perspective of a market participant. We determined that certain of our Grid segment property, plant and equipment were impaired as their carrying value exceeded their fair value. Accordingly, we recorded an impairment charge of $1.7 million.</w:t>
      </w:r>
    </w:p>
    <w:p>
      <w:pPr>
        <w:spacing w:after="0" w:line="39" w:lineRule="exact"/>
        <w:rPr>
          <w:sz w:val="20"/>
          <w:szCs w:val="20"/>
          <w:color w:val="auto"/>
        </w:rPr>
      </w:pPr>
    </w:p>
    <w:p>
      <w:pPr>
        <w:ind w:left="240" w:right="1840" w:firstLine="228"/>
        <w:spacing w:after="0" w:line="391" w:lineRule="auto"/>
        <w:rPr>
          <w:sz w:val="20"/>
          <w:szCs w:val="20"/>
          <w:color w:val="auto"/>
        </w:rPr>
      </w:pPr>
      <w:r>
        <w:rPr>
          <w:rFonts w:ascii="Arial" w:cs="Arial" w:eastAsia="Arial" w:hAnsi="Arial"/>
          <w:sz w:val="18"/>
          <w:szCs w:val="18"/>
          <w:color w:val="auto"/>
        </w:rPr>
        <w:t xml:space="preserve">In addition, for the year ended March 31, 2012, we recorded $2.2 million of facility exit costs as a result of our restructuring plan.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provision for income taxes is composed of a current and a deferred portion. The current income tax provision is calculated as the estimated taxes payable or refundable on tax returns for the current year.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deferred income tax provision is calculated for the estimated future tax effects attributable to temporary differences and carryforwards using expected tax rates in effect in the years during which the differences are expected to reverse.</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the provision for income taxes, see Note 10, “Income Taxes”, of our consolidated financial statements for further information regarding our income tax assumptions and expenses.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measure compensation cost arising from the grant of share-based payments to employees at fair value and recognize such cost over the period during which the employee is required to provide service in exchange for the award, usually the vesting period. Total stock-based compensation expense recognized during the fiscal years ended March 31, 2012, 2011, and 2010 was $9.9 million, $13.4 million, and $13.5 million, respectively. For awards with service conditions only, we recognize compensation cost on a straight-line basis over the requisite service/vesting period. We use the lattice model to value market condition awards. For awards with market conditions with a single cliff vest feature, we recognize compensation costs on a straight-line basis over the requisite service period. For awards with performance condition, accruals of compensation cost are made based on the probable outcome of the performance conditions. The cumulative effect of changes in the probability outcomes are recorded in the period in which the changes occur.</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 See Note 11, “Stockholders’ Equity,” of our consolidated financial statements for further information regarding our stock-based compensation assumptions and expenses.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both forward contracts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and currency options to manage the foreign currency exposures that exist as part of our ongoing business operations. We recognize all derivatives, including forward currency-exchange contracts, in the balance sheet at fair value.</w:t>
      </w:r>
    </w:p>
    <w:p>
      <w:pPr>
        <w:spacing w:after="0" w:line="5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From time to time, we hedge a portion of our intercompany sales of inventory over a maximum period of 15 months using forward foreign currency exchange contracts, accounted for as cash flow hedges, to mitigate the impact of volatility associated with foreign currency transactions.</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Effectiveness is assessed at the inception of the hedge and on a quarterly basis. To the extent that a previously forecasted transaction is no longer an effective hedge, any ineffectiveness measured in the hedging relationship is recorded in earnings in the period the ineffectiveness occurs.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 The assessments determine whether derivatives designated as qualifying hedges continue to be highly effective in offsetting changes in the cash flows of hedged items. Any ineffective portion of the change in fair value is included in current period earnings. Cash flow hedge accounting is deemed ineffective when the forecasted transaction is no longer probable of occurring on the originally forecasted date, or 60 days thereafter. On March 31, 2011, we determined our hedges for forward foreign exchange contracts outstanding were no longer effective based on our determination that the original forecasted transactions were not probable of occurring by the end of the originally specified time period. As a result, we reclassified accumulated gains of $1.6 million from accumulated other comprehensive income (loss) to other income (expense), net, in the accompanying consolidated statements of operations.</w:t>
      </w:r>
    </w:p>
    <w:p>
      <w:pPr>
        <w:spacing w:after="0" w:line="4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addition to cash flow hedges, from time to time, we also enter into foreign currency forward exchange contracts to mitigate the impact of foreign exchange risk related to non-functional currency receivable balances in its foreign entities. Our hedges are not designated for hedge accounting treatment and consequently, changes in the fair value of these contracts are recorded within other income (expense), net, in the period which they occur.</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adjusts the loss provision when appropriate. If the loss is not probable or cannot be reasonably estimated, a liability is not recorded in its consolidated financial statements. If, with respect to a matter, it is not both probable to result in liability and the amount of loss cannot be reasonably estimated, an estimate of possible loss or range of loss shall be disclosed unless such an estimate cannot be made. We do not recognize gain contingencies until they are realized. Legal costs incurred in connection with loss contingencies are expensed as incurred.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Warranty obligations are incurred in connection with the sale of our products. We generally provide a one to three year warranty on our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Foreign currency transaction gains (losses), net of hedging activities, are included in net income and were $3.1 million, $8.0 million and ($2.5) million for the fiscal years ended March 31, 2012, 2011 and 2010,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March 31, 2011, we had forward contracts outstanding to hedge cash flow exposure at our wholly-owned Austrian subsidiary, AMSC Austria, with aggregate U.S. dollar equivalent notional amounts of $40.9 million. These contracts expired at various dates through March 2012. On March 31, 2011, we determined our hedges for forward foreign exchange contracts were no longer valid based on our determination that the original forecasted transactions were no longer considered probable of occurring by the end of the originally specified time period. As a result, we reclassified accumulated gains of $1.6 million from accumulated other comprehensive income (loss) to other income (expense), net, in the accompanying consolidated statements of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8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comprehensive (loss) income, of stockholders’ equity and of cash flows present fairly, in all material respects, the financial position of American Superconductor Corporation and its subsidiaries at March 31, 2012 and March 31, 2011, and the results of their operations and their cash flows for each of the three years in the period ended March 31,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31, 2012,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r>
      <w:tr>
        <w:trPr>
          <w:trHeight w:val="161"/>
        </w:trPr>
        <w:tc>
          <w:tcPr>
            <w:tcW w:w="9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ind w:left="400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123,783</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116,126</w:t>
            </w: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15,259</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25,828</w:t>
            </w: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32,759</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5,566</w:t>
            </w: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21"/>
        </w:trPr>
        <w:tc>
          <w:tcPr>
            <w:tcW w:w="92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143,571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319,805</w:t>
            </w: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96,494</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Intangibles,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12,016</w:t>
            </w: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255,056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441,209</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920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90,273</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Adverse purchase commitments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25,894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38,763</w:t>
            </w: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10,304</w:t>
            </w:r>
          </w:p>
        </w:tc>
      </w:tr>
      <w:tr>
        <w:trPr>
          <w:trHeight w:val="223"/>
        </w:trPr>
        <w:tc>
          <w:tcPr>
            <w:tcW w:w="920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145,180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148,354</w:t>
            </w:r>
          </w:p>
        </w:tc>
      </w:tr>
      <w:tr>
        <w:trPr>
          <w:trHeight w:val="221"/>
        </w:trPr>
        <w:tc>
          <w:tcPr>
            <w:tcW w:w="92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200" w:type="dxa"/>
            <w:vAlign w:val="bottom"/>
          </w:tcPr>
          <w:p>
            <w:pPr>
              <w:ind w:left="220"/>
              <w:spacing w:after="0"/>
              <w:rPr>
                <w:sz w:val="20"/>
                <w:szCs w:val="20"/>
                <w:color w:val="auto"/>
              </w:rPr>
            </w:pPr>
            <w:r>
              <w:rPr>
                <w:rFonts w:ascii="Arial" w:cs="Arial" w:eastAsia="Arial" w:hAnsi="Arial"/>
                <w:sz w:val="18"/>
                <w:szCs w:val="18"/>
                <w:color w:val="auto"/>
              </w:rPr>
              <w:t>Common stock, $0.01 par value, 150,000,000 shares authorized; 51,962,141 and 50,719,827 shares issued and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outstanding at March 31, 2012 and 2011, 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r>
      <w:tr>
        <w:trPr>
          <w:trHeight w:val="217"/>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896,603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885,704</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Treasury stock, at cost, 23,861 shares at March 31, 2012</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w:t>
            </w:r>
          </w:p>
        </w:tc>
      </w:tr>
      <w:tr>
        <w:trPr>
          <w:trHeight w:val="223"/>
        </w:trPr>
        <w:tc>
          <w:tcPr>
            <w:tcW w:w="92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(734,000)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(597,173)</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164,879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292,855</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255,056</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441,209</w:t>
            </w:r>
          </w:p>
        </w:tc>
      </w:tr>
      <w:tr>
        <w:trPr>
          <w:trHeight w:val="20"/>
        </w:trPr>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March 3 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286,603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315,955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308,183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200,977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27,271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32,517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72,382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Restructuring and impairments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 of advance payment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Amortization of acquisition related intangibles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212,982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464,586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277,294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Operating (loss) income</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6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(136,439)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(177,983)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38,661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 expense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(135,458)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(170,331)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(136,827)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(186,284)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Net (loss) income per common share</w:t>
            </w: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Basic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50,842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47,103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1"/>
              </w:rPr>
              <w:t>Year Ended March 31 ,</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7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5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$(136,827)</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$(186,284)</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gains (losses)</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Unrealized gains on cash flow hedges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ineffective hedge gains to net income</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Unrealized losses on investments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income</w:t>
            </w: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(138,617)</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(175,456)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112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restart"/>
          </w:tcPr>
          <w:p>
            <w:pPr>
              <w:spacing w:after="0" w:line="123" w:lineRule="exact"/>
              <w:rPr>
                <w:sz w:val="20"/>
                <w:szCs w:val="20"/>
                <w:color w:val="auto"/>
              </w:rPr>
            </w:pPr>
            <w:r>
              <w:rPr>
                <w:rFonts w:ascii="Arial" w:cs="Arial" w:eastAsia="Arial" w:hAnsi="Arial"/>
                <w:sz w:val="14"/>
                <w:szCs w:val="14"/>
                <w:b w:val="1"/>
                <w:bCs w:val="1"/>
                <w:color w:val="auto"/>
              </w:rPr>
              <w:t>Additional</w:t>
            </w:r>
          </w:p>
        </w:tc>
        <w:tc>
          <w:tcPr>
            <w:tcW w:w="680" w:type="dxa"/>
            <w:vAlign w:val="bottom"/>
            <w:gridSpan w:val="3"/>
            <w:vMerge w:val="restart"/>
          </w:tcPr>
          <w:p>
            <w:pPr>
              <w:spacing w:after="0" w:line="123" w:lineRule="exact"/>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3"/>
            <w:vMerge w:val="restart"/>
          </w:tcPr>
          <w:p>
            <w:pPr>
              <w:spacing w:after="0" w:line="123"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vMerge w:val="restart"/>
          </w:tcPr>
          <w:p>
            <w:pPr>
              <w:jc w:val="right"/>
              <w:ind w:right="34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77"/>
              </w:rPr>
              <w:t>Costs-</w:t>
            </w:r>
          </w:p>
        </w:tc>
        <w:tc>
          <w:tcPr>
            <w:tcW w:w="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4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Value</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Warrant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1, 2009</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43,298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653,054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(4,487)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(427,137)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221,861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18,632</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18,640</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 ESPP</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 restricted shares</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13,494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13,494</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Non-employee stock-based compensation expense</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stock for calendar 2009 401(k) match</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Contingent consideration</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10,824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Minority interest investment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deferred warrant costs</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unrealized losses on investments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Cumulative translation adjustment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(2,487)</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16,248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16,248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color w:val="auto"/>
              </w:rPr>
              <w:t>Balance at March 31, 2010</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44,846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448</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698,417</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(7,011)</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(410,889)</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280,965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7,198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7,204</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 ESPP</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 restricted shares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13,412</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13,412</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Non-employee stock-based compensation expense</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Issuance of stock for calendar 2010 401(k) match</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841</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follow-on public offering, net of costs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155,194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155,240</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Contingent consideration</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10,004</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unrealized losses on investments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Cumulative translation adjustment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10,918</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10,918</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(186,284)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(186,284)</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color w:val="auto"/>
              </w:rPr>
              <w:t>Balance at March 31, 2011</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50,719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507</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885,704</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3,817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(597,173)</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292,855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 ESPP</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303</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 restricted shares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9,864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9,864</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stock for calendar 2011 401(k) match</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Contingent consideration</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Treasury stock, at cost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9"/>
        </w:trPr>
        <w:tc>
          <w:tcPr>
            <w:tcW w:w="4300" w:type="dxa"/>
            <w:vAlign w:val="bottom"/>
          </w:tcPr>
          <w:p>
            <w:pPr>
              <w:ind w:left="220"/>
              <w:spacing w:after="0" w:line="149" w:lineRule="exact"/>
              <w:rPr>
                <w:sz w:val="20"/>
                <w:szCs w:val="20"/>
                <w:color w:val="auto"/>
              </w:rPr>
            </w:pPr>
            <w:r>
              <w:rPr>
                <w:rFonts w:ascii="Arial" w:cs="Arial" w:eastAsia="Arial" w:hAnsi="Arial"/>
                <w:sz w:val="14"/>
                <w:szCs w:val="14"/>
                <w:color w:val="auto"/>
              </w:rPr>
              <w:t>Cumulative translation adjustment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(1,790)</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(136,827)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(136,827)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color w:val="auto"/>
              </w:rPr>
              <w:t>Balance at March 31, 2012</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51,986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520</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896,603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(271)</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2,027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(734,000)</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164,879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9"/>
              </w:rPr>
              <w:t>Year Ended March 31,</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020" w:type="dxa"/>
            <w:vAlign w:val="bottom"/>
            <w:tcBorders>
              <w:top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200"/>
              <w:spacing w:after="0" w:line="149" w:lineRule="exact"/>
              <w:rPr>
                <w:sz w:val="20"/>
                <w:szCs w:val="20"/>
                <w:color w:val="auto"/>
              </w:rPr>
            </w:pPr>
            <w:r>
              <w:rPr>
                <w:rFonts w:ascii="Arial" w:cs="Arial" w:eastAsia="Arial" w:hAnsi="Arial"/>
                <w:sz w:val="14"/>
                <w:szCs w:val="14"/>
                <w:color w:val="auto"/>
              </w:rPr>
              <w:t>Net (loss) income</w:t>
            </w:r>
          </w:p>
        </w:tc>
        <w:tc>
          <w:tcPr>
            <w:tcW w:w="2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w w:val="86"/>
              </w:rPr>
              <w:t>(136,827)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3"/>
              </w:rPr>
              <w:t>(186,284)</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$ 16,248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(loss) income to net cash (used in) provided by operations:</w:t>
            </w:r>
          </w:p>
        </w:tc>
        <w:tc>
          <w:tcPr>
            <w:tcW w:w="20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15,455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11,300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9,864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13,443</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Write-off of advanced payment to The Switch</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20,551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Patent costs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Restructuring charges, net of payments</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2,798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48,959</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Impairment of long-lived and intangible assets</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1,715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996</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excess and obsolete inventory</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4,357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63,882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Adverse purchase commitment losses (recoveries), net</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(1,299)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38,763</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doubtful accounts receivable</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Write-off of prepaid taxes</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5,905</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minority interest investment</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2,407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1,396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3,660</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items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 and liability accounts:</w:t>
            </w:r>
          </w:p>
        </w:tc>
        <w:tc>
          <w:tcPr>
            <w:tcW w:w="2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Accounts receivable</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63,175</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640"/>
              <w:spacing w:after="0" w:line="149" w:lineRule="exact"/>
              <w:rPr>
                <w:sz w:val="20"/>
                <w:szCs w:val="20"/>
                <w:color w:val="auto"/>
              </w:rPr>
            </w:pPr>
            <w:r>
              <w:rPr>
                <w:rFonts w:ascii="Arial" w:cs="Arial" w:eastAsia="Arial" w:hAnsi="Arial"/>
                <w:sz w:val="14"/>
                <w:szCs w:val="14"/>
                <w:color w:val="auto"/>
              </w:rPr>
              <w:t>Inventory</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(7,528)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(51,942)</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(15,428)</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640"/>
              <w:spacing w:after="0" w:line="149" w:lineRule="exact"/>
              <w:rPr>
                <w:sz w:val="20"/>
                <w:szCs w:val="20"/>
                <w:color w:val="auto"/>
              </w:rPr>
            </w:pPr>
            <w:r>
              <w:rPr>
                <w:rFonts w:ascii="Arial" w:cs="Arial" w:eastAsia="Arial" w:hAnsi="Arial"/>
                <w:sz w:val="14"/>
                <w:szCs w:val="14"/>
                <w:color w:val="auto"/>
              </w:rPr>
              <w:t>Accounts payable and accrued expenses</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w w:val="99"/>
              </w:rPr>
              <w:t>(64,148)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(222)</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Deferred revenue</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9,060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(21,398)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200"/>
              <w:spacing w:after="0"/>
              <w:rPr>
                <w:sz w:val="20"/>
                <w:szCs w:val="20"/>
                <w:color w:val="auto"/>
              </w:rPr>
            </w:pPr>
            <w:r>
              <w:rPr>
                <w:rFonts w:ascii="Arial" w:cs="Arial" w:eastAsia="Arial" w:hAnsi="Arial"/>
                <w:sz w:val="14"/>
                <w:szCs w:val="14"/>
                <w:color w:val="auto"/>
              </w:rPr>
              <w:t>Net cash provided by (used in) operating activities</w:t>
            </w:r>
          </w:p>
        </w:tc>
        <w:tc>
          <w:tcPr>
            <w:tcW w:w="20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92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72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w w:val="86"/>
              </w:rPr>
              <w:t>(141,042)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5"/>
              </w:rPr>
              <w:t>(22,821)</w:t>
            </w: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40,680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Purchase of property, plant and equipment</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w w:val="99"/>
              </w:rPr>
              <w:t>(10,895)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(40,862)</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marketable securities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(157,905)</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maturity of marketable securities</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w w:val="90"/>
              </w:rPr>
              <w:t>110,117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104,830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restricted cash</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(9,093)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247</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Purchase of intangible assets</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(4,227)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(2,514)</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minority investments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(9,765)</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Advanced payment for planned acquisition</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w w:val="99"/>
              </w:rPr>
              <w:t>(20,551)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other assets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1,136</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200"/>
              <w:spacing w:after="0"/>
              <w:rPr>
                <w:sz w:val="20"/>
                <w:szCs w:val="20"/>
                <w:color w:val="auto"/>
              </w:rPr>
            </w:pPr>
            <w:r>
              <w:rPr>
                <w:rFonts w:ascii="Arial" w:cs="Arial" w:eastAsia="Arial" w:hAnsi="Arial"/>
                <w:sz w:val="14"/>
                <w:szCs w:val="14"/>
                <w:color w:val="auto"/>
              </w:rPr>
              <w:t>Net cash (used in) provided by investing activities</w:t>
            </w:r>
          </w:p>
        </w:tc>
        <w:tc>
          <w:tcPr>
            <w:tcW w:w="20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92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72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63,337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3"/>
              </w:rPr>
              <w:t>(104,833)</w:t>
            </w:r>
          </w:p>
        </w:tc>
        <w:tc>
          <w:tcPr>
            <w:tcW w:w="6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(39,996)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2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Employee taxes paid related to net settlement of equity awards</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(271)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debt</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Repayment of debt</w:t>
            </w:r>
          </w:p>
        </w:tc>
        <w:tc>
          <w:tcPr>
            <w:tcW w:w="2020" w:type="dxa"/>
            <w:vAlign w:val="bottom"/>
          </w:tcPr>
          <w:p>
            <w:pPr>
              <w:spacing w:after="0"/>
              <w:rPr>
                <w:sz w:val="12"/>
                <w:szCs w:val="12"/>
                <w:color w:val="auto"/>
              </w:rPr>
            </w:pP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(4,682)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public equity offering, net</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155,240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exercise of employee stock options and ESPP</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7,818</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163,058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0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2020" w:type="dxa"/>
            <w:vAlign w:val="bottom"/>
          </w:tcPr>
          <w:p>
            <w:pPr>
              <w:spacing w:after="0"/>
              <w:rPr>
                <w:sz w:val="13"/>
                <w:szCs w:val="13"/>
                <w:color w:val="auto"/>
              </w:rPr>
            </w:pPr>
          </w:p>
        </w:tc>
        <w:tc>
          <w:tcPr>
            <w:tcW w:w="72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144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785</w:t>
            </w:r>
          </w:p>
        </w:tc>
        <w:tc>
          <w:tcPr>
            <w:tcW w:w="6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9"/>
              </w:rPr>
              <w:t>(77,504)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36,189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w w:val="90"/>
              </w:rPr>
              <w:t>123,783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87,594</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20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46,279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123,783</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$ 87,594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40" w:type="dxa"/>
            <w:vAlign w:val="bottom"/>
            <w:gridSpan w:val="2"/>
          </w:tcPr>
          <w:p>
            <w:pPr>
              <w:spacing w:after="0" w:line="155" w:lineRule="exact"/>
              <w:rPr>
                <w:sz w:val="20"/>
                <w:szCs w:val="20"/>
                <w:color w:val="auto"/>
              </w:rPr>
            </w:pPr>
            <w:r>
              <w:rPr>
                <w:rFonts w:ascii="Arial" w:cs="Arial" w:eastAsia="Arial" w:hAnsi="Arial"/>
                <w:sz w:val="14"/>
                <w:szCs w:val="14"/>
                <w:color w:val="auto"/>
              </w:rPr>
              <w:t>Supplemental schedule of cash flow information:</w:t>
            </w:r>
          </w:p>
        </w:tc>
        <w:tc>
          <w:tcPr>
            <w:tcW w:w="20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income taxes, net of refunds</w:t>
            </w:r>
          </w:p>
        </w:tc>
        <w:tc>
          <w:tcPr>
            <w:tcW w:w="20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13,357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16,434</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$ 12,387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Non-cash contingent consideration in connection with acquisitions</w:t>
            </w:r>
          </w:p>
        </w:tc>
        <w:tc>
          <w:tcPr>
            <w:tcW w:w="2020" w:type="dxa"/>
            <w:vAlign w:val="bottom"/>
          </w:tcPr>
          <w:p>
            <w:pPr>
              <w:spacing w:after="0"/>
              <w:rPr>
                <w:sz w:val="12"/>
                <w:szCs w:val="12"/>
                <w:color w:val="auto"/>
              </w:rPr>
            </w:pPr>
          </w:p>
        </w:tc>
        <w:tc>
          <w:tcPr>
            <w:tcW w:w="7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10,004</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issuance of common stock</w:t>
            </w:r>
          </w:p>
        </w:tc>
        <w:tc>
          <w:tcPr>
            <w:tcW w:w="20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842</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the Business and Operations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American Superconductor Corporation (“AMSC” or the “Company”)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6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March 31, 2012, the Company had cash, cash equivalents, and marketable securities of $51.6 million. The Company experienced a substantial decline in revenues, incurred a net loss of $136.8 million and used $141.0 million of cash for operations during the fiscal year ended March 31, 2012. As a result, the Company reduced its global workforce by approximately 50% and consolidated certain business operations in three locations to reduce facility costs. As of March 31, 2012, the Company had a global workforce of approximately 400 persons.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expects that its cost reduction efforts and anticipated revenue growth will result in a substantial reduction in cash used for operations during the year ending March 31, 2013. The Company plans to closely monitor its expenses and if required, expects to further reduce operating costs and capital spending to enhance liquidity. At March 31, 2012, the Company had accrued liabilities related to adverse purchase commitments for inventory totaling $25.9 million. The Company is working with its inventory suppliers to delay cash settlements and to reduce the gross liability associated with its adverse purchase commitments. During the quarter ending June 30, 2012, the Company agreed to provide certain vendors with letters of credit in the amount of approximately $9.0 million which resulted in additional restricted cash of approximately $8.5 million and a reduction of its adverse purchase commitments liability of $7.4 million. See Note 18, “Subsequent Events,” for additional information.</w:t>
      </w:r>
    </w:p>
    <w:p>
      <w:pPr>
        <w:spacing w:after="0" w:line="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April 4, 2012, the Company completed a private placement of $25.0 million of 7% senior convertible notes (“Notes”). See Note 18, “Subsequent Events,” for further information regarding the Company’s private placement of Notes. The Notes contain certain covenants and restrictions, including, among others, that for so long as the Notes are outstanding, the Company will not incur any indebtedness (other than permitted indebtedness under the Notes), permit liens on its properties (other than permitted liens under the Notes), make payments on junior securities or make dividends. The Notes also contain limitations on the transfer of certain assets. Events of default under the Notes include failure to pay principal or interest as due on the Notes, failure to deliver registered shares of common stock upon the holders request for conversion of part or all of the Notes, failure to maintain the Company’s common stock eligible for trading on defined markets, cross defaults to other material indebtedness, receipt of uninsured judgments against the Company in excess of defined limits and other administrative covenants, as defined in the Notes and related documentation. Upon an event of default, the holders may require the Company to redeem all or any portion of the outstanding principal amount of the Notes in cash plus a penalty as specified in the agreement. In addition, if the Company fails to maintain an effective registration statement covering common stock to be used in settling obligations under the Notes, the Company will be required to pay a penalty as specified in the agreement.</w:t>
      </w:r>
    </w:p>
    <w:p>
      <w:pPr>
        <w:spacing w:after="0" w:line="4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June 5, 2012, the Company entered into a Loan and Security Agreement with Hercules Technology Growth Capital, under which the Company borrowed $10.0 million. See Note 18, “Subsequent Events,” for further information regarding the Company’s Loan and Security Agreement. The loan contains certain covenants and restrictions including, among others, a requirement to maintain a minimum unrestricted cash balance in the U.S. of at least $10.0 million at the inception of the loan, which will decrease starting November 1, 2012 and monthly thereafter by the amount of principal paid.</w:t>
      </w:r>
    </w:p>
    <w:p>
      <w:pPr>
        <w:spacing w:after="0" w:line="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Although the Company believes that it has the ability to maintain compliance with the Notes and loan covenants and restrictions, there can no assurance that the Company will be in compliance.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believes that its available cash, together with additional reductions in operating costs and capital expenditures that it expects to make if necessary, will be sufficient to fund its operations, capital expenditures and any scheduled cash payments under its debt obligations for twelve months from the balance sheet date. The Company’s liquidity is highly dependent on its ability to profitably grow revenues, successfully manage adverse purchase commitments, fund and maintain compliance with the covenants and restrictions on its debt obligations, and raise additional capital, as required. The Company may seek additional financing; however, there can be no assurance that financing will be available on commercially acceptable terms or at all.</w:t>
      </w:r>
    </w:p>
    <w:p>
      <w:pPr>
        <w:spacing w:after="0" w:line="110" w:lineRule="exact"/>
        <w:rPr>
          <w:sz w:val="20"/>
          <w:szCs w:val="20"/>
          <w:color w:val="auto"/>
        </w:rPr>
      </w:pPr>
    </w:p>
    <w:p>
      <w:pPr>
        <w:ind w:left="240" w:right="7780" w:hanging="232"/>
        <w:spacing w:after="0" w:line="347" w:lineRule="auto"/>
        <w:tabs>
          <w:tab w:leader="none" w:pos="319"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Consolidation</w:t>
      </w:r>
    </w:p>
    <w:p>
      <w:pPr>
        <w:spacing w:after="0" w:line="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and transactions are eliminated. Certain reclassifications of prior years’ amounts have been made to conform to the current year presentation. These reclassifications had no effect on net income, cash flows from operating activities or stockholders’ equity.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of the United States of America,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warranty provisions, stock-based compensation,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considers all highly liquid debt instruments with original maturities of three months or less to be cash equivalents. Cash equivalents consist principally of certificates of deposits and money market accounts.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Marketable securities consist primarily of government-backed securities and commercial paper.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Fair values are based on quoted market prices. The unrealized gains and losses related to these securities are included in accumulated other comprehensive income (loss). When securities are sold, the cost is determined based on the specific identification method and realized gains and losses are included in interest income, net. The Company periodically reviews the realizability of each short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Accounts receivable consist of amounts owed by commercial companies and government agencies. Accounts receivable are stated net of allowances for doubtful accounts. The Company’s accounts receivable relate principally to a limited number of customers. Changes in the financial condition or operations of our customers may result in increased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and results of operations.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or market determined on a first-in, first-out basis. The Company records inventory when it takes delivery and title to the product.</w:t>
      </w:r>
    </w:p>
    <w:p>
      <w:pPr>
        <w:spacing w:after="0" w:line="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each balance sheet date, the Company evaluates its ending inventories for excess quantities and obsolescence. Inventories that management consider excess or obsolete are written down.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year ended March 31, 2012, the Company recorded an inventory write-down of approximately $4.4 million based on evaluating its ending inventory on hand for excess quantities and obsolescence. The Company recorded an inventory write-down of approximately $63.9 million during the year ended March 31, 2011, based on its evaluation of forecasted demand in relation to the inventory on hand and market conditions surrounding its products as a result of the assumption that Sinovel and certain other customers in China will fail to meet their contractual obligations and demand that was previously forecasted will fail to materialize. During the year ended March 31, 2012, the Company recorded a benefit to cost of revenues of $0.8 million related to the sale or usage of inventories written down in a prior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Company periodically enters into non-cancelable purchase contracts in order to ensure the availability of materials to support production of its products. The Company periodically assesses the need to provide for impairment on these purchase contracts and record a loss on purchase commitments when required. During the fourth quarter of the year ended March 31, 2011, the Company recorded losses of $38.8 million to cost of revenues as a result of commitments to purchase materials that were in excess of its estimated future demand from certain of its customers in China. As of March 31, 2012, the Company had accrued liabilities related to adverse purchase commitments totaling $25.9 million. During the year ended March 31, 2012, the Company adjusted its accrual for adverse purchase commitments by $1.3 million due to settlements with vendors. Recoveries are recorded in the period the settlements are executed.</w:t>
      </w:r>
    </w:p>
    <w:p>
      <w:pPr>
        <w:spacing w:after="0" w:line="2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fourth quarter of the year ended March 31, 2011, several vendors notified the Company that they had suffered losses as a result of procuring safety stock in anticipation of receiving future purchase orders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contracts from the Company. The Company has accrued outstanding adverse purchase commitments based on legally binding contracts and purchase orders that were placed with its vendors for parts with no future demand. The vendor claims for safety stock were not supported by valid purchase orders or executed contracts and not considered part of the adverse purchase commitment liability. The claims for safety stock have not been accrued as of March 31, 2012. The Company has determined that although it believes that there is no legally enforceable contract for safety stock and will continue to defend its legal position that it does not owe amounts for safety stock, that it is reasonably possible that a case may be made against the Company under certain situations. As the loss is reasonably possible but not probable, the Company has not accounted for the loss. The Company has determined that the range for this potential loss is between $0 and $4 million.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both forward contracts and currency options to manage the foreign currency exposures that exist as part of its ongoing business operations. The Company does not enter into derivative instruments for trading or speculative purposes.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From time to time, the Company hedges a portion of its intercompany sales of inventory over a maximum period of 15 months using forward foreign currency exchange contracts, accounted for as cash flow hedges, to mitigate the impact of volatility associated with foreign currency transactions.</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forward foreign exchange contracts that are designated as cash flow hedges, if they are effective in offsetting the variability of the hedged cash flows, and otherwise meet the hedge accounting criteria, changes in the derivatives value are not included in current earnings but are included in other comprehensive income in stockholders’ equity. The changes in fair value will subsequently be reclassified into earnings as a component of cost of revenues, as applicable, when the forecasted transaction occurs. Effectiveness is assessed at the inception of the hedge and on a quarterly basis. To the extent that a previously forecasted transaction is no longer an effective hedge, any ineffectiveness measured in the hedging relationship is recorded in earnings in the period the ineffectiveness occurs. Realized gains and losses resulting from these cash flow hedges offset the foreign exchange gains and losses on the underlying transactions being hedged. Gains and losses on derivatives not designated for hedge accounting or representing either hedge ineffectiveness or hedge components excluded from the assessment of effectiveness are recognized in other income (expense), net. The assessments determine whether derivatives designated as qualifying hedges continue to be highly effective in offsetting changes in the cash flows of hedged items. Any ineffective portion of the change in fair value is included in current period earnings. Cash flow hedge accounting is deemed ineffective when the forecasted transaction is no longer probable of occurring on the originally forecasted date, or 60 days thereafter.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Balance Sheet Hedges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cash flow hedges, from time to time the Company also enters into foreign currency forward exchange contracts to mitigate the impact of foreign exchange risk related to certain non-functional currency receivable balances in its foreign entities. The Company typically does not elect hedge accounting treatment for these hedges and consequently, changes in the fair value of these contracts are recorded within other income (expense), net, in the period which they occur.</w:t>
      </w:r>
    </w:p>
    <w:p>
      <w:pPr>
        <w:spacing w:after="0" w:line="6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All derivatives, whether designated in a hedging relationship or not, are required to be recorded on the balance sheet at fair value. This guidance also requires that changes in the derivative’s fair value be recognized currently in earnings unless specific hedge accounting criteria are met, and that the Company formally document, designate, and assess the effectiveness of transactions that receive hedge accounting. The effectiveness of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derivative as a hedging instrument is based on changes in its market value being highly correlated with changes in the market value of the underlying hedged item.</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0" w:firstLine="456"/>
        <w:spacing w:after="0" w:line="331" w:lineRule="auto"/>
        <w:rPr>
          <w:sz w:val="20"/>
          <w:szCs w:val="20"/>
          <w:color w:val="auto"/>
        </w:rPr>
      </w:pPr>
      <w:r>
        <w:rPr>
          <w:rFonts w:ascii="Arial" w:cs="Arial" w:eastAsia="Arial" w:hAnsi="Arial"/>
          <w:sz w:val="16"/>
          <w:szCs w:val="16"/>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Asset Classification</w:t>
            </w:r>
          </w:p>
        </w:tc>
        <w:tc>
          <w:tcPr>
            <w:tcW w:w="3060" w:type="dxa"/>
            <w:vAlign w:val="bottom"/>
          </w:tcPr>
          <w:p>
            <w:pPr>
              <w:spacing w:after="0"/>
              <w:rPr>
                <w:sz w:val="14"/>
                <w:szCs w:val="14"/>
                <w:color w:val="auto"/>
              </w:rPr>
            </w:pPr>
          </w:p>
        </w:tc>
        <w:tc>
          <w:tcPr>
            <w:tcW w:w="33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6"/>
              </w:rPr>
              <w:t>Estimated Useful Life in Years</w:t>
            </w: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w:t>
            </w:r>
          </w:p>
        </w:tc>
        <w:tc>
          <w:tcPr>
            <w:tcW w:w="29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Process upgrades to the building</w:t>
            </w:r>
          </w:p>
        </w:tc>
        <w:tc>
          <w:tcPr>
            <w:tcW w:w="4920" w:type="dxa"/>
            <w:vAlign w:val="bottom"/>
            <w:gridSpan w:val="2"/>
          </w:tcPr>
          <w:p>
            <w:pPr>
              <w:jc w:val="center"/>
              <w:ind w:left="2972"/>
              <w:spacing w:after="0"/>
              <w:rPr>
                <w:sz w:val="20"/>
                <w:szCs w:val="20"/>
                <w:color w:val="auto"/>
              </w:rPr>
            </w:pPr>
            <w:r>
              <w:rPr>
                <w:rFonts w:ascii="Arial" w:cs="Arial" w:eastAsia="Arial" w:hAnsi="Arial"/>
                <w:sz w:val="18"/>
                <w:szCs w:val="18"/>
                <w:color w:val="auto"/>
                <w:w w:val="91"/>
              </w:rPr>
              <w:t>10-40</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920" w:type="dxa"/>
            <w:vAlign w:val="bottom"/>
            <w:gridSpan w:val="2"/>
            <w:shd w:val="clear" w:color="auto" w:fill="CCEEFF"/>
          </w:tcPr>
          <w:p>
            <w:pPr>
              <w:jc w:val="center"/>
              <w:ind w:left="2972"/>
              <w:spacing w:after="0"/>
              <w:rPr>
                <w:sz w:val="20"/>
                <w:szCs w:val="20"/>
                <w:color w:val="auto"/>
              </w:rPr>
            </w:pPr>
            <w:r>
              <w:rPr>
                <w:rFonts w:ascii="Arial" w:cs="Arial" w:eastAsia="Arial" w:hAnsi="Arial"/>
                <w:sz w:val="18"/>
                <w:szCs w:val="18"/>
                <w:color w:val="auto"/>
                <w:w w:val="94"/>
              </w:rPr>
              <w:t>3-10</w:t>
            </w: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920" w:type="dxa"/>
            <w:vAlign w:val="bottom"/>
            <w:gridSpan w:val="2"/>
          </w:tcPr>
          <w:p>
            <w:pPr>
              <w:jc w:val="center"/>
              <w:ind w:left="2972"/>
              <w:spacing w:after="0"/>
              <w:rPr>
                <w:sz w:val="20"/>
                <w:szCs w:val="20"/>
                <w:color w:val="auto"/>
              </w:rPr>
            </w:pPr>
            <w:r>
              <w:rPr>
                <w:rFonts w:ascii="Arial" w:cs="Arial" w:eastAsia="Arial" w:hAnsi="Arial"/>
                <w:sz w:val="18"/>
                <w:szCs w:val="18"/>
                <w:color w:val="auto"/>
                <w:w w:val="84"/>
              </w:rPr>
              <w:t>3-5</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400" w:type="dxa"/>
            <w:vAlign w:val="bottom"/>
            <w:gridSpan w:val="3"/>
            <w:shd w:val="clear" w:color="auto" w:fill="CCEEFF"/>
          </w:tcPr>
          <w:p>
            <w:pPr>
              <w:jc w:val="center"/>
              <w:ind w:left="1492"/>
              <w:spacing w:after="0"/>
              <w:rPr>
                <w:sz w:val="20"/>
                <w:szCs w:val="20"/>
                <w:color w:val="auto"/>
              </w:rPr>
            </w:pPr>
            <w:r>
              <w:rPr>
                <w:rFonts w:ascii="Arial" w:cs="Arial" w:eastAsia="Arial" w:hAnsi="Arial"/>
                <w:sz w:val="18"/>
                <w:szCs w:val="18"/>
                <w:color w:val="auto"/>
                <w:w w:val="88"/>
              </w:rPr>
              <w:t>Shorter of the estimated useful life or the remaining lease term</w:t>
            </w:r>
          </w:p>
        </w:tc>
      </w:tr>
    </w:tbl>
    <w:p>
      <w:pPr>
        <w:spacing w:after="0" w:line="7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6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2011, the Company completed certain restructuring activities in order to reduce costs and to align its strategic priorities to capitalize on near and long-term opportunities in its Grid segment. As a result, the Company concluded that there were indicators of potential impairment of certain long-lived assets in its Grid segment and therefore conducted an assessment of the recoverability of these assets during the three months ended December 31, 2011 by comparing the carrying value of the assets to the pre-tax undiscounted cash flows estimated to be generated by those assets over their remaining book useful lives. Based on the calculation performed by management, the sum of the undiscounted cash flows forecasted to be generated by certain assets within its Grid segment were less than the carrying value of those assets. Therefore, there was an indication that certain of the Company’s Grid assets were impaired and, as a result, the Company performed additional analysis. An evaluation of the level of impairment was made by comparing the implied fair value of those definite long-lived tangible and intangible assets of its Grid segment against their carrying values.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fair values of the impacted property and equipment were based on what the Company could reasonably expect to sell each asset from the perspective of a market participant. The determination of the fair value of its property and equipment includes estimates and judgments regarding the marketability and ultimate sales price of individual assets. The Company utilized market data and approximations from comparable analyses to arrive at the estimated fair values of the impacted property and equipment. The fair values of amortizable intangible assets related to completed technology were determined using the relief-from-royalty method over the estimated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economic lives of those assets from the perspective of a market participant. During the three months ended December 31, 2011, the Company determined that certain of its Grid segment property, plant and equipment were impaired as their carrying value exceeded their fair value. Accordingly, the Company recorded an impairment charge of $1.7 million.</w:t>
      </w:r>
    </w:p>
    <w:p>
      <w:pPr>
        <w:spacing w:after="0" w:line="59" w:lineRule="exact"/>
        <w:rPr>
          <w:sz w:val="20"/>
          <w:szCs w:val="20"/>
          <w:color w:val="auto"/>
        </w:rPr>
      </w:pPr>
    </w:p>
    <w:p>
      <w:pPr>
        <w:ind w:left="240" w:right="1160" w:firstLine="228"/>
        <w:spacing w:after="0" w:line="391" w:lineRule="auto"/>
        <w:rPr>
          <w:sz w:val="20"/>
          <w:szCs w:val="20"/>
          <w:color w:val="auto"/>
        </w:rPr>
      </w:pPr>
      <w:r>
        <w:rPr>
          <w:rFonts w:ascii="Arial" w:cs="Arial" w:eastAsia="Arial" w:hAnsi="Arial"/>
          <w:sz w:val="18"/>
          <w:szCs w:val="18"/>
          <w:color w:val="auto"/>
        </w:rPr>
        <w:t xml:space="preserve">In addition, for the year ended March 31, 2012, the Company recorded $2.2 million of facility exit costs as a result of its restructuring plan. </w:t>
      </w:r>
      <w:r>
        <w:rPr>
          <w:rFonts w:ascii="Arial" w:cs="Arial" w:eastAsia="Arial" w:hAnsi="Arial"/>
          <w:sz w:val="18"/>
          <w:szCs w:val="18"/>
          <w:b w:val="1"/>
          <w:bCs w:val="1"/>
          <w:i w:val="1"/>
          <w:iCs w:val="1"/>
          <w:color w:val="auto"/>
        </w:rPr>
        <w:t>Equity Method Investments</w:t>
      </w:r>
    </w:p>
    <w:p>
      <w:pPr>
        <w:spacing w:after="0" w:line="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 uses the equity method of accounting for investments in entities in which it has an ownership interest, but does not exercise a controlling interest in the operating and financial policies of an investee. Under this method, an investment is carried at the acquisition cost, plus the Company’s equity in undistributed earnings or losses since acquisition.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recognizes revenue for product sales upon customer acceptance, which can occur at the time of delivery, installation or post-installation, provided persuasive evidence of an arrangement exists, delivery has occurred, the sales price is fixed or determinable and the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the Company’s contracts involve retention amounts which are contingent upon meeting certain performance requirements through the expiration of the contract warranty periods. For contractual arrangements that involve retention, the Company recognizes revenue for these amounts when upon the expiration of the warranty period, meeting the performance requirements and when collection of the fee is reasonably assured.</w:t>
      </w:r>
    </w:p>
    <w:p>
      <w:pPr>
        <w:spacing w:after="0" w:line="37"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During the year ended March 31, 2011, the Company determined that revenues from certain of its customers in China could not be recorded for shipments made according to the delivery terms, as the fee was not fixed or determinable or collectability was not reasonably assured. For these customers, the Company is utilizing a cash basis of accounting with cash applied first against accounts receivable balances, then costs of shipments (inventory and value added taxes) before recognizing any gross margin. No shipments were made to these customers in the year ended March 31, 2012. Payments of $5.2 million were received from these customers during the year ended March 31, 2012, for past shipments and recorded as revenue.</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Percentage-of-completion revenue recognition accounting is predominantly used on long-term prototype development contracts with the U.S. government and certain commercial turnkey contracts.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completed-contract method.</w:t>
      </w:r>
    </w:p>
    <w:p>
      <w:pPr>
        <w:spacing w:after="0" w:line="37"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For sales that involve the delivery of multiple elements, we allocate revenue to each undelivered element based on the element’s fair value as determined by vendor-specific objective evidence (“VSOE”), which is the price charged when that element is sold separately, or third-party evidence (“TPE”). When VSOE and TPE are unavailable, fair value is based on our best estimate of selling price utilizing a cost plus reasonable margin consistent with how the Company has set pricing historically for similar products and services. When our estimates are used to determine fair value, management makes its estimates using reasonable and objective evidence to determine the price. We review VSOE and TPE at least annually. If we conclude we are unable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establish fair values for one or more undelivered elements within a multiple-element arrangement using VSOE then we use TPE or our best estimate of the selling price for that unit of accounting, being the price at which the vendor would transact if the unit of accounting were sold by the vendor regularly on a standalone basis.</w:t>
      </w:r>
    </w:p>
    <w:p>
      <w:pPr>
        <w:spacing w:after="0" w:line="5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 occasionally enters into construction contracts that include a performance bond.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w:t>
      </w:r>
    </w:p>
    <w:p>
      <w:pPr>
        <w:spacing w:after="0" w:line="5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enters into certain arrangements to license its technologies and to provide training services. The Company has determined that the license has no standalone value to the customer and is not separable from the training. Accordingly, the Company accounts for these arrangements as a single unit of accounting, following the revenue recognition pattern of the last deliverable of these arrangements and recognizes revenue over the period of the Company’s performance and milestones that have been achieved. Costs for these arrangements are expensed as incurred.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Warranty obligations are incurred in connection with the sale of the Company’s products. The Company generally provides a one to three year warranty on its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Company’s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2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foreign deferred income tax assets since the Company believes that it is more likely than not that these deferred tax assets are not currently realizable due to uncertainty around profitability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accounts for stock-based payment transactions using a fair value-based method and recognizes the related expense in the results of operations.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The Company uses the lattice model to value market condition awards. For awards with market conditions with a single cliff vest feature, the Company recognizes compensation costs on a straight-line basis over the requisite service period. For awards with performance condition, accruals of compensation cost are made based on the probable outcome of the performance conditions. The cumulative effect of changes in the probability outcomes are recorded in the period in which the changes occur.</w:t>
      </w:r>
    </w:p>
    <w:p>
      <w:pPr>
        <w:spacing w:after="0" w:line="3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Computation of Net (Loss) Income per Common Share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net (loss) income per share (“EPS”) is computed by dividing net (loss) income by the weighted-average number of common shares outstanding for the period.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years ended March 31, 2012, 2011, and 2010, common equivalent shares of 2,290,416, 2,631,251, and 688,300, respectively, were not included in the calculation of diluted EPS as they were considered antidilutive. The following table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reconciles the numerators and denominators of the EPS calculation for the years ended March 31, 2012, 2011, and 2010 (in thousands except per share amounts):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March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(136,827)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(186,284)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51,144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47,750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subject to repurchase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Shares used in per-share calculation — basic</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50,842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47,103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44,445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employee equity incentive plans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Shares used in per-share calculation — diluted</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50,842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47,103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(loss) income per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functional currency of all the Company’s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 Net foreign currency transaction and hedging gains (losses), are included in net (loss) income and were $3.1 million, $8.0 million and ($2.5) million for the years ended March 31, 2012, 2011 and 2010, respectively. The Company has no restrictions on the foreign exchange activities of its foreign subsidiaries, including the payment of dividends and other distributions.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invests its available cash with high-credit, quality financial instruments and invests primarily in investment grade-marketable securities, including, but not limited to, government obligations, money market funds and corporate debt instruments.</w:t>
      </w:r>
    </w:p>
    <w:p>
      <w:pPr>
        <w:spacing w:after="0" w:line="5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year ending March 31, 2012 and beyond as incremental funding is authorized and appropriated by the government.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12, “Commitments and Contingencies,” for further information regarding the Company’s pending litigation.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Company’s financial instruments consist principally of cash and cash equivalents, marketable securities, accounts receivable, accounts payable and accrued expenses. The carrying amounts of these instruments approximate fair value.</w:t>
      </w:r>
    </w:p>
    <w:p>
      <w:pPr>
        <w:spacing w:after="0" w:line="126" w:lineRule="exact"/>
        <w:rPr>
          <w:sz w:val="20"/>
          <w:szCs w:val="20"/>
          <w:color w:val="auto"/>
        </w:rPr>
      </w:pPr>
    </w:p>
    <w:p>
      <w:pPr>
        <w:ind w:left="240" w:right="7400" w:hanging="232"/>
        <w:spacing w:after="0" w:line="347" w:lineRule="auto"/>
        <w:tabs>
          <w:tab w:leader="none" w:pos="319"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Marketable Securities and Fair Value Disclosures </w:t>
      </w:r>
      <w:r>
        <w:rPr>
          <w:rFonts w:ascii="Arial" w:cs="Arial" w:eastAsia="Arial" w:hAnsi="Arial"/>
          <w:sz w:val="18"/>
          <w:szCs w:val="18"/>
          <w:b w:val="1"/>
          <w:bCs w:val="1"/>
          <w:i w:val="1"/>
          <w:iCs w:val="1"/>
          <w:color w:val="auto"/>
        </w:rPr>
        <w:t>Marketable Securities</w:t>
      </w:r>
    </w:p>
    <w:p>
      <w:pPr>
        <w:spacing w:after="0" w:line="2" w:lineRule="exact"/>
        <w:rPr>
          <w:sz w:val="20"/>
          <w:szCs w:val="20"/>
          <w:color w:val="auto"/>
        </w:rPr>
      </w:pPr>
    </w:p>
    <w:p>
      <w:pPr>
        <w:ind w:right="180" w:firstLine="456"/>
        <w:spacing w:after="0" w:line="357" w:lineRule="auto"/>
        <w:rPr>
          <w:sz w:val="20"/>
          <w:szCs w:val="20"/>
          <w:color w:val="auto"/>
        </w:rPr>
      </w:pPr>
      <w:r>
        <w:rPr>
          <w:rFonts w:ascii="Arial" w:cs="Arial" w:eastAsia="Arial" w:hAnsi="Arial"/>
          <w:sz w:val="15"/>
          <w:szCs w:val="15"/>
          <w:color w:val="auto"/>
        </w:rPr>
        <w:t>The Company’s marketable securities are classified as available-for-sale securities and, accordingly, are recorded at fair value. The difference between amortized cost and fair value is included in stockholders’ equity. At March 31, 2012 and 2011, there were investments with an immaterial gross unrealized loss.</w:t>
      </w:r>
    </w:p>
    <w:p>
      <w:pPr>
        <w:ind w:left="460"/>
        <w:spacing w:after="0"/>
        <w:rPr>
          <w:sz w:val="20"/>
          <w:szCs w:val="20"/>
          <w:color w:val="auto"/>
        </w:rPr>
      </w:pPr>
      <w:r>
        <w:rPr>
          <w:rFonts w:ascii="Arial" w:cs="Arial" w:eastAsia="Arial" w:hAnsi="Arial"/>
          <w:sz w:val="18"/>
          <w:szCs w:val="18"/>
          <w:color w:val="auto"/>
        </w:rPr>
        <w:t>The following is a summary of marketable securities at March 31, 2012 and 2011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4"/>
                <w:szCs w:val="14"/>
                <w:color w:val="auto"/>
              </w:rPr>
            </w:pPr>
          </w:p>
        </w:tc>
        <w:tc>
          <w:tcPr>
            <w:tcW w:w="14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Fair Market</w:t>
            </w: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Cost at</w:t>
            </w:r>
          </w:p>
        </w:tc>
        <w:tc>
          <w:tcPr>
            <w:tcW w:w="1540" w:type="dxa"/>
            <w:vAlign w:val="bottom"/>
            <w:gridSpan w:val="5"/>
          </w:tcPr>
          <w:p>
            <w:pPr>
              <w:jc w:val="right"/>
              <w:ind w:right="9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520" w:type="dxa"/>
            <w:vAlign w:val="bottom"/>
            <w:gridSpan w:val="5"/>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 at</w:t>
            </w:r>
          </w:p>
        </w:tc>
      </w:tr>
      <w:tr>
        <w:trPr>
          <w:trHeight w:val="161"/>
        </w:trPr>
        <w:tc>
          <w:tcPr>
            <w:tcW w:w="4660" w:type="dxa"/>
            <w:vAlign w:val="bottom"/>
          </w:tcPr>
          <w:p>
            <w:pPr>
              <w:spacing w:after="0"/>
              <w:rPr>
                <w:sz w:val="14"/>
                <w:szCs w:val="14"/>
                <w:color w:val="auto"/>
              </w:rPr>
            </w:pPr>
          </w:p>
        </w:tc>
        <w:tc>
          <w:tcPr>
            <w:tcW w:w="178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0"/>
              </w:rPr>
              <w:t>March 31, 2012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4"/>
                <w:szCs w:val="14"/>
                <w:color w:val="auto"/>
              </w:rPr>
            </w:pPr>
          </w:p>
        </w:tc>
        <w:tc>
          <w:tcPr>
            <w:tcW w:w="14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78"/>
              </w:rPr>
              <w:t>Losses</w:t>
            </w: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March 31, 2012</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commercial paper</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Borders>
              <w:top w:val="single" w:sz="8" w:color="CCEEFF"/>
            </w:tcBorders>
            <w:shd w:val="clear" w:color="auto" w:fill="CCEEFF"/>
          </w:tcPr>
          <w:p>
            <w:pPr>
              <w:spacing w:after="0"/>
              <w:rPr>
                <w:sz w:val="18"/>
                <w:szCs w:val="18"/>
                <w:color w:val="auto"/>
              </w:rPr>
            </w:pPr>
          </w:p>
        </w:tc>
      </w:tr>
      <w:tr>
        <w:trPr>
          <w:trHeight w:val="338"/>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3"/>
              </w:rPr>
              <w:t>Gross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78"/>
              </w:rPr>
              <w:t>Gross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Fair Market</w:t>
            </w: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Cost at</w:t>
            </w:r>
          </w:p>
        </w:tc>
        <w:tc>
          <w:tcPr>
            <w:tcW w:w="40" w:type="dxa"/>
            <w:vAlign w:val="bottom"/>
          </w:tcPr>
          <w:p>
            <w:pPr>
              <w:spacing w:after="0"/>
              <w:rPr>
                <w:sz w:val="12"/>
                <w:szCs w:val="12"/>
                <w:color w:val="auto"/>
              </w:rPr>
            </w:pPr>
          </w:p>
        </w:tc>
        <w:tc>
          <w:tcPr>
            <w:tcW w:w="1500" w:type="dxa"/>
            <w:vAlign w:val="bottom"/>
            <w:gridSpan w:val="4"/>
          </w:tcPr>
          <w:p>
            <w:pPr>
              <w:jc w:val="right"/>
              <w:ind w:right="8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46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Value at</w:t>
            </w:r>
          </w:p>
        </w:tc>
      </w:t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8"/>
              </w:rPr>
              <w:t>March 31, 2011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7"/>
              </w:rPr>
              <w:t>Gains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74"/>
              </w:rPr>
              <w:t>Losses</w:t>
            </w:r>
          </w:p>
        </w:tc>
        <w:tc>
          <w:tcPr>
            <w:tcW w:w="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March 31, 2011</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government-backed securities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w w:val="77"/>
              </w:rPr>
              <w:t>(18)</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Short-term commercial paper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860"/>
              <w:spacing w:after="0"/>
              <w:rPr>
                <w:sz w:val="20"/>
                <w:szCs w:val="20"/>
                <w:color w:val="auto"/>
              </w:rPr>
            </w:pPr>
            <w:r>
              <w:rPr>
                <w:rFonts w:ascii="Arial" w:cs="Arial" w:eastAsia="Arial" w:hAnsi="Arial"/>
                <w:sz w:val="18"/>
                <w:szCs w:val="18"/>
                <w:color w:val="auto"/>
              </w:rPr>
              <w:t>39,728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2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39,755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and Level 2 of the fair value measurement hierarchy during the years ended March 31, 2012 and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45" w:lineRule="exact"/>
        <w:rPr>
          <w:sz w:val="20"/>
          <w:szCs w:val="20"/>
          <w:color w:val="auto"/>
        </w:rPr>
      </w:pPr>
    </w:p>
    <w:p>
      <w:pPr>
        <w:ind w:left="2040" w:right="140" w:hanging="1134"/>
        <w:spacing w:after="0" w:line="268" w:lineRule="auto"/>
        <w:tabs>
          <w:tab w:leader="none" w:pos="20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51" w:lineRule="exact"/>
        <w:rPr>
          <w:sz w:val="20"/>
          <w:szCs w:val="20"/>
          <w:color w:val="auto"/>
        </w:rPr>
      </w:pPr>
    </w:p>
    <w:p>
      <w:pPr>
        <w:ind w:left="2040" w:right="60" w:hanging="1134"/>
        <w:spacing w:after="0" w:line="335" w:lineRule="auto"/>
        <w:tabs>
          <w:tab w:leader="none" w:pos="20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5"/>
          <w:szCs w:val="15"/>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7" w:lineRule="exact"/>
        <w:rPr>
          <w:sz w:val="20"/>
          <w:szCs w:val="20"/>
          <w:color w:val="auto"/>
        </w:rPr>
      </w:pPr>
    </w:p>
    <w:p>
      <w:pPr>
        <w:ind w:left="2040" w:right="60" w:hanging="1134"/>
        <w:spacing w:after="0" w:line="268" w:lineRule="auto"/>
        <w:tabs>
          <w:tab w:leader="none" w:pos="20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5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measured as of March 31, 2012 and 2011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Using</w:t>
            </w: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Using Significant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Total</w:t>
            </w:r>
          </w:p>
        </w:tc>
        <w:tc>
          <w:tcPr>
            <w:tcW w:w="19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2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Other</w:t>
            </w:r>
          </w:p>
        </w:tc>
        <w:tc>
          <w:tcPr>
            <w:tcW w:w="4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Carrying</w:t>
            </w:r>
          </w:p>
        </w:tc>
        <w:tc>
          <w:tcPr>
            <w:tcW w:w="19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12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 (Level</w:t>
            </w:r>
          </w:p>
        </w:tc>
      </w:tr>
      <w:tr>
        <w:trPr>
          <w:trHeight w:val="161"/>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7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(Level 1)</w:t>
            </w: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Inputs (Level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
              <w:spacing w:after="0"/>
              <w:rPr>
                <w:sz w:val="20"/>
                <w:szCs w:val="20"/>
                <w:color w:val="auto"/>
              </w:rPr>
            </w:pPr>
            <w:r>
              <w:rPr>
                <w:rFonts w:ascii="Arial" w:cs="Arial" w:eastAsia="Arial" w:hAnsi="Arial"/>
                <w:sz w:val="14"/>
                <w:szCs w:val="14"/>
                <w:b w:val="1"/>
                <w:bCs w:val="1"/>
                <w:color w:val="auto"/>
                <w:w w:val="79"/>
              </w:rPr>
              <w:t>3)</w:t>
            </w:r>
          </w:p>
        </w:tc>
        <w:tc>
          <w:tcPr>
            <w:tcW w:w="100" w:type="dxa"/>
            <w:vAlign w:val="bottom"/>
          </w:tcPr>
          <w:p>
            <w:pPr>
              <w:spacing w:after="0"/>
              <w:rPr>
                <w:sz w:val="14"/>
                <w:szCs w:val="14"/>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2012:</w:t>
            </w: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$23,485</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23,485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Short-term commercial paper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5,304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332"/>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Using</w:t>
            </w: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Using Significant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Total</w:t>
            </w:r>
          </w:p>
        </w:tc>
        <w:tc>
          <w:tcPr>
            <w:tcW w:w="19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2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Other</w:t>
            </w:r>
          </w:p>
        </w:tc>
        <w:tc>
          <w:tcPr>
            <w:tcW w:w="4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Carrying</w:t>
            </w:r>
          </w:p>
        </w:tc>
        <w:tc>
          <w:tcPr>
            <w:tcW w:w="19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12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 (Level</w:t>
            </w:r>
          </w:p>
        </w:tc>
      </w:tr>
      <w:tr>
        <w:trPr>
          <w:trHeight w:val="161"/>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7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(Level 1)</w:t>
            </w: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Inputs (Level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
              <w:spacing w:after="0"/>
              <w:rPr>
                <w:sz w:val="20"/>
                <w:szCs w:val="20"/>
                <w:color w:val="auto"/>
              </w:rPr>
            </w:pPr>
            <w:r>
              <w:rPr>
                <w:rFonts w:ascii="Arial" w:cs="Arial" w:eastAsia="Arial" w:hAnsi="Arial"/>
                <w:sz w:val="14"/>
                <w:szCs w:val="14"/>
                <w:b w:val="1"/>
                <w:bCs w:val="1"/>
                <w:color w:val="auto"/>
                <w:w w:val="79"/>
              </w:rPr>
              <w:t>3)</w:t>
            </w:r>
          </w:p>
        </w:tc>
        <w:tc>
          <w:tcPr>
            <w:tcW w:w="100" w:type="dxa"/>
            <w:vAlign w:val="bottom"/>
          </w:tcPr>
          <w:p>
            <w:pPr>
              <w:spacing w:after="0"/>
              <w:rPr>
                <w:sz w:val="14"/>
                <w:szCs w:val="14"/>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2011:</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w w:val="89"/>
              </w:rPr>
              <w:t>$49,837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49,837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Short-term government-backed securities</w:t>
            </w:r>
          </w:p>
        </w:tc>
        <w:tc>
          <w:tcPr>
            <w:tcW w:w="1540" w:type="dxa"/>
            <w:vAlign w:val="bottom"/>
            <w:gridSpan w:val="4"/>
          </w:tcPr>
          <w:p>
            <w:pPr>
              <w:jc w:val="right"/>
              <w:ind w:right="940"/>
              <w:spacing w:after="0"/>
              <w:rPr>
                <w:sz w:val="20"/>
                <w:szCs w:val="20"/>
                <w:color w:val="auto"/>
              </w:rPr>
            </w:pPr>
            <w:r>
              <w:rPr>
                <w:rFonts w:ascii="Arial" w:cs="Arial" w:eastAsia="Arial" w:hAnsi="Arial"/>
                <w:sz w:val="18"/>
                <w:szCs w:val="18"/>
                <w:color w:val="auto"/>
              </w:rPr>
              <w:t>76,371</w:t>
            </w:r>
          </w:p>
        </w:tc>
        <w:tc>
          <w:tcPr>
            <w:tcW w:w="160" w:type="dxa"/>
            <w:vAlign w:val="bottom"/>
          </w:tcPr>
          <w:p>
            <w:pPr>
              <w:spacing w:after="0"/>
              <w:rPr>
                <w:sz w:val="18"/>
                <w:szCs w:val="18"/>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76,371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Short-term commercial paper</w:t>
            </w:r>
          </w:p>
        </w:tc>
        <w:tc>
          <w:tcPr>
            <w:tcW w:w="154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39,755</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Derivatives</w:t>
            </w:r>
          </w:p>
        </w:tc>
        <w:tc>
          <w:tcPr>
            <w:tcW w:w="1540" w:type="dxa"/>
            <w:vAlign w:val="bottom"/>
            <w:gridSpan w:val="4"/>
          </w:tcPr>
          <w:p>
            <w:pPr>
              <w:jc w:val="right"/>
              <w:ind w:right="940"/>
              <w:spacing w:after="0"/>
              <w:rPr>
                <w:sz w:val="20"/>
                <w:szCs w:val="20"/>
                <w:color w:val="auto"/>
              </w:rPr>
            </w:pPr>
            <w:r>
              <w:rPr>
                <w:rFonts w:ascii="Arial" w:cs="Arial" w:eastAsia="Arial" w:hAnsi="Arial"/>
                <w:sz w:val="18"/>
                <w:szCs w:val="18"/>
                <w:color w:val="auto"/>
              </w:rPr>
              <w:t>3,087</w:t>
            </w:r>
          </w:p>
        </w:tc>
        <w:tc>
          <w:tcPr>
            <w:tcW w:w="160" w:type="dxa"/>
            <w:vAlign w:val="bottom"/>
          </w:tcPr>
          <w:p>
            <w:pPr>
              <w:spacing w:after="0"/>
              <w:rPr>
                <w:sz w:val="19"/>
                <w:szCs w:val="19"/>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3,087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 of deposits and money market accounts.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Short-term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derivatives entered into by the Company are valued using over-the-counter quoted market prices for similar instruments, and are classified within Level 2 of the valuation hierarchy.</w:t>
      </w:r>
    </w:p>
    <w:p>
      <w:pPr>
        <w:spacing w:after="0" w:line="126" w:lineRule="exact"/>
        <w:rPr>
          <w:sz w:val="20"/>
          <w:szCs w:val="20"/>
          <w:color w:val="auto"/>
        </w:rPr>
      </w:pPr>
    </w:p>
    <w:p>
      <w:pPr>
        <w:ind w:left="240" w:right="8620" w:hanging="232"/>
        <w:spacing w:after="0" w:line="391" w:lineRule="auto"/>
        <w:tabs>
          <w:tab w:leader="none" w:pos="319"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b w:val="1"/>
          <w:bCs w:val="1"/>
          <w:i w:val="1"/>
          <w:iCs w:val="1"/>
          <w:color w:val="auto"/>
        </w:rPr>
        <w:t>Cash Flow Hedges</w:t>
      </w:r>
    </w:p>
    <w:p>
      <w:pPr>
        <w:spacing w:after="0" w:line="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At March 31, 2011, the Company had forward contracts outstanding to hedge cash flow exposure at the Company’s wholly-owned Austrian subsidiary, AMSC Windtec GmbH (“AMSC Austria”), with aggregate U.S. dollar equivalent notional amounts of $40.9 million. These contracts expired at various dates through March 2012. At March 31, 2011, the Company determined, that these forward foreign exchange contracts outstanding were no longer effective hedges based on the Company’s determination that the original forecasted transactions were not probable of occurring by the end of the originally specified time period. As a result, the Company reclassified accumulated gains of $1.6 million from accumulated other comprehensive income (loss) to other income (expense), net, in the accompanying consolidated statements of operations. At March 31, 2012, the Company had no forward foreign exchange contracts outstanding.</w:t>
      </w:r>
    </w:p>
    <w:p>
      <w:pPr>
        <w:spacing w:after="0" w:line="39" w:lineRule="exact"/>
        <w:rPr>
          <w:sz w:val="20"/>
          <w:szCs w:val="20"/>
          <w:color w:val="auto"/>
        </w:rPr>
      </w:pPr>
    </w:p>
    <w:p>
      <w:pPr>
        <w:ind w:right="100" w:firstLine="456"/>
        <w:spacing w:after="0" w:line="331" w:lineRule="auto"/>
        <w:rPr>
          <w:sz w:val="20"/>
          <w:szCs w:val="20"/>
          <w:color w:val="auto"/>
        </w:rPr>
      </w:pPr>
      <w:r>
        <w:rPr>
          <w:rFonts w:ascii="Arial" w:cs="Arial" w:eastAsia="Arial" w:hAnsi="Arial"/>
          <w:sz w:val="16"/>
          <w:szCs w:val="16"/>
          <w:color w:val="auto"/>
        </w:rPr>
        <w:t>The fair value amounts of asset derivatives included in prepaid expenses and other current assets and liability derivatives included in accounts payable and accrued expenses in the consolidated balance sheets related to forward foreign exchange contracts as of March 31, 2011 were as follows (in thousands):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Asset Derivatives</w:t>
            </w:r>
          </w:p>
        </w:tc>
        <w:tc>
          <w:tcPr>
            <w:tcW w:w="136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Liability Derivatives</w:t>
            </w:r>
          </w:p>
        </w:tc>
      </w:tr>
      <w:tr>
        <w:trPr>
          <w:trHeight w:val="129"/>
        </w:trPr>
        <w:tc>
          <w:tcPr>
            <w:tcW w:w="6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89"/>
              </w:rPr>
              <w:t>March 31,</w:t>
            </w:r>
          </w:p>
        </w:tc>
        <w:tc>
          <w:tcPr>
            <w:tcW w:w="13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6"/>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r>
      <w:tr>
        <w:trPr>
          <w:trHeight w:val="161"/>
        </w:trPr>
        <w:tc>
          <w:tcPr>
            <w:tcW w:w="60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3"/>
              </w:rPr>
              <w:t>2011</w:t>
            </w:r>
          </w:p>
        </w:tc>
        <w:tc>
          <w:tcPr>
            <w:tcW w:w="1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60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Forward foreign exchange contract derivatives not designated as cash flow</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recognized the following pre-tax gains in other comprehensive income related to forward foreign exchange contracts designated as cash flow hedges (in thousands):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Gains recognized in other comprehensive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Gains reclassified from other comprehensive income to other income (expense), net due to ineffective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jc w:val="right"/>
              <w:ind w:right="8412"/>
              <w:spacing w:after="0"/>
              <w:rPr>
                <w:sz w:val="20"/>
                <w:szCs w:val="20"/>
                <w:color w:val="auto"/>
              </w:rPr>
            </w:pPr>
            <w:r>
              <w:rPr>
                <w:rFonts w:ascii="Arial" w:cs="Arial" w:eastAsia="Arial" w:hAnsi="Arial"/>
                <w:sz w:val="18"/>
                <w:szCs w:val="18"/>
                <w:color w:val="auto"/>
              </w:rPr>
              <w:t>hedges</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jc w:val="right"/>
              <w:ind w:right="3792"/>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recognized the following pre-tax gains (losses) related to forward foreign exchange contracts in the consolidated statements of income (in thousands):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For the Years Ended</w:t>
            </w:r>
          </w:p>
        </w:tc>
      </w:tr>
      <w:tr>
        <w:trPr>
          <w:trHeight w:val="161"/>
        </w:trPr>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Gains (losses) recognized in other income (expense), net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Gains (losses) recognized in cost of revenues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r>
      <w:tr>
        <w:trPr>
          <w:trHeight w:val="208"/>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Gains reclassified from other comprehensive income to other income (expense) on discontinued cash flow</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Balance Sheet Hedges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At March 31, 2011, the Company had forward contracts outstanding with aggregate U.S. dollar equivalent notional amounts of $125.5 million. At March 31, 2012, the Company did not have any forward contracts outstanding.</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amounts of asset derivatives included in prepaid expenses and other current assets and liability derivatives included in accounts payable and accrued expenses in the consolidated balance sheets related to forward foreign exchange contracts related to non-functional currency receivable balances as of March 31, 2011 were as follows (in thousands):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3"/>
              </w:rPr>
              <w:t>Asset Derivatives</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Liability Derivatives</w:t>
            </w:r>
          </w:p>
        </w:tc>
      </w:tr>
      <w:tr>
        <w:trPr>
          <w:trHeight w:val="129"/>
        </w:trPr>
        <w:tc>
          <w:tcPr>
            <w:tcW w:w="6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89"/>
              </w:rPr>
              <w:t>March 31,</w:t>
            </w:r>
          </w:p>
        </w:tc>
        <w:tc>
          <w:tcPr>
            <w:tcW w:w="1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6"/>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r>
      <w:tr>
        <w:trPr>
          <w:trHeight w:val="161"/>
        </w:trPr>
        <w:tc>
          <w:tcPr>
            <w:tcW w:w="6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3"/>
              </w:rPr>
              <w:t>2011</w:t>
            </w: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68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Forward foreign exchange contracts related to non-functional currency</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 balances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6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recognized the following pre-tax gains (losses) related to forward foreign exchange contracts related to non-functional currency receivable balances in the consolidated statements of income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2"/>
              </w:rPr>
              <w:t>For the Years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860" w:type="dxa"/>
            <w:vAlign w:val="bottom"/>
            <w:gridSpan w:val="3"/>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Gains (losses) recognized in other income (expense), net</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6,666</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(3,345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5632"/>
              <w:spacing w:after="0"/>
              <w:rPr>
                <w:sz w:val="20"/>
                <w:szCs w:val="20"/>
                <w:color w:val="auto"/>
              </w:rPr>
            </w:pPr>
            <w:r>
              <w:rPr>
                <w:rFonts w:ascii="Arial" w:cs="Arial" w:eastAsia="Arial" w:hAnsi="Arial"/>
                <w:sz w:val="18"/>
                <w:szCs w:val="18"/>
                <w:b w:val="1"/>
                <w:bCs w:val="1"/>
                <w:color w:val="auto"/>
                <w:w w:val="89"/>
              </w:rPr>
              <w:t>5.  Accounts Receivable</w:t>
            </w: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80" w:type="dxa"/>
            <w:vAlign w:val="bottom"/>
            <w:gridSpan w:val="2"/>
          </w:tcPr>
          <w:p>
            <w:pPr>
              <w:ind w:left="460"/>
              <w:spacing w:after="0"/>
              <w:rPr>
                <w:sz w:val="20"/>
                <w:szCs w:val="20"/>
                <w:color w:val="auto"/>
              </w:rPr>
            </w:pPr>
            <w:r>
              <w:rPr>
                <w:rFonts w:ascii="Arial" w:cs="Arial" w:eastAsia="Arial" w:hAnsi="Arial"/>
                <w:sz w:val="18"/>
                <w:szCs w:val="18"/>
                <w:color w:val="auto"/>
                <w:w w:val="98"/>
              </w:rPr>
              <w:t>Accounts receivable at March 31, 2012 and 2011 consisted of the following (in thousands):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7"/>
          </w:tcPr>
          <w:p>
            <w:pPr>
              <w:jc w:val="right"/>
              <w:ind w:right="57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(billed)</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$16,240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2,811</w:t>
            </w:r>
          </w:p>
        </w:tc>
        <w:tc>
          <w:tcPr>
            <w:tcW w:w="440" w:type="dxa"/>
            <w:vAlign w:val="bottom"/>
          </w:tcPr>
          <w:p>
            <w:pPr>
              <w:spacing w:after="0"/>
              <w:rPr>
                <w:sz w:val="18"/>
                <w:szCs w:val="18"/>
                <w:color w:val="auto"/>
              </w:rPr>
            </w:pPr>
          </w:p>
        </w:tc>
        <w:tc>
          <w:tcPr>
            <w:tcW w:w="740" w:type="dxa"/>
            <w:vAlign w:val="bottom"/>
            <w:gridSpan w:val="4"/>
          </w:tcPr>
          <w:p>
            <w:pPr>
              <w:jc w:val="right"/>
              <w:ind w:right="18"/>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20" w:type="dxa"/>
            <w:vAlign w:val="bottom"/>
            <w:vMerge w:val="restart"/>
          </w:tcPr>
          <w:p>
            <w:pPr>
              <w:ind w:left="220"/>
              <w:spacing w:after="0"/>
              <w:rPr>
                <w:sz w:val="20"/>
                <w:szCs w:val="20"/>
                <w:color w:val="auto"/>
              </w:rPr>
            </w:pPr>
            <w:r>
              <w:rPr>
                <w:rFonts w:ascii="Arial" w:cs="Arial" w:eastAsia="Arial" w:hAnsi="Arial"/>
                <w:sz w:val="18"/>
                <w:szCs w:val="18"/>
                <w:color w:val="auto"/>
              </w:rPr>
              <w:t>Accounts receivable, net</w:t>
            </w: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1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18,999</w:t>
            </w:r>
          </w:p>
        </w:tc>
        <w:tc>
          <w:tcPr>
            <w:tcW w:w="440" w:type="dxa"/>
            <w:vAlign w:val="bottom"/>
          </w:tcPr>
          <w:p>
            <w:pPr>
              <w:spacing w:after="0"/>
              <w:rPr>
                <w:sz w:val="19"/>
                <w:szCs w:val="19"/>
                <w:color w:val="auto"/>
              </w:rPr>
            </w:pPr>
          </w:p>
        </w:tc>
        <w:tc>
          <w:tcPr>
            <w:tcW w:w="740" w:type="dxa"/>
            <w:vAlign w:val="bottom"/>
            <w:gridSpan w:val="4"/>
          </w:tcPr>
          <w:p>
            <w:pPr>
              <w:jc w:val="right"/>
              <w:ind w:right="18"/>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15,259</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1692"/>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at March 31, 2012 and 2011 consisted of the following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$17,100</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Work-in-progress</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2,390</w:t>
            </w:r>
          </w:p>
        </w:tc>
        <w:tc>
          <w:tcPr>
            <w:tcW w:w="58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14,438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Deferred program costs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29,256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25,828</w:t>
            </w:r>
          </w:p>
        </w:tc>
        <w:tc>
          <w:tcPr>
            <w:tcW w:w="100" w:type="dxa"/>
            <w:vAlign w:val="bottom"/>
            <w:shd w:val="clear" w:color="auto" w:fill="CCEEFF"/>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year ended March 31, 2012, the Company recorded an inventory write-down of approximately $4.4 million based on evaluating its ending inventory on hand for excess quantities and obsolescence. For the year ended March 31, 2011, the Company recorded an inventory write-down of approximately $63.9 million based on its evaluation of forecasted demand in relation to the inventory on hand and market conditions surrounding its products as a result of the assumption that Sinovel and certain other customers in China will fail to meet their contractual obligations under existing supply agreements and demand that was previously forecasted will fail to materialize.</w:t>
      </w:r>
    </w:p>
    <w:p>
      <w:pPr>
        <w:spacing w:after="0" w:line="6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Deferred program costs as of March 31, 2012 and 2011 primarily represent costs incurred on D-VAR turnkey projects and programs accounted for under contract accounting where revenue and costs will be recognized when the Company completes the development programs.</w:t>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and equipment at March 31, 2012 and 2011 are as follows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Construction in progress —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Arial" w:cs="Arial" w:eastAsia="Arial" w:hAnsi="Arial"/>
                <w:sz w:val="18"/>
                <w:szCs w:val="18"/>
                <w:color w:val="auto"/>
                <w:w w:val="98"/>
              </w:rPr>
              <w:t>25,331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8"/>
              </w:rPr>
              <w:t>36,808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Arial" w:cs="Arial" w:eastAsia="Arial" w:hAnsi="Arial"/>
                <w:sz w:val="18"/>
                <w:szCs w:val="18"/>
                <w:color w:val="auto"/>
                <w:w w:val="98"/>
              </w:rPr>
              <w:t>62,785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gross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2"/>
              </w:rPr>
              <w:t>136,859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92"/>
              <w:spacing w:after="0"/>
              <w:rPr>
                <w:sz w:val="20"/>
                <w:szCs w:val="20"/>
                <w:color w:val="auto"/>
              </w:rPr>
            </w:pPr>
            <w:r>
              <w:rPr>
                <w:rFonts w:ascii="Arial" w:cs="Arial" w:eastAsia="Arial" w:hAnsi="Arial"/>
                <w:sz w:val="18"/>
                <w:szCs w:val="18"/>
                <w:color w:val="auto"/>
                <w:w w:val="89"/>
              </w:rPr>
              <w:t>(46,031)</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8"/>
              </w:rPr>
              <w:t>90,828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Depreciation expense was $12.9 million, $8.4 million, and $7.1 million for the years ended March 31, 2012, 2011, and 2010, respectively. See Note 15, “Restructuring and Impairments,” for additional information regarding the effect the Company’s restructuring plan had on property, plant and equipment.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Goodwill and Other Intangible Assets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tested goodwill for impairment at least annually and more frequently upon the occurrence of certain events, which may have indicated that impairment had occurred. The provisions of the accounting guidance for goodwill require that a two-step impairment test be performed on goodwill. In the first step, the Company compares the fair value, which is determined using a discounted cash flow technique, of the reporting unit to its carrying value. If the fair value of the reporting unit exceeds the carrying value of the net assets of that reporting unit, goodwill is not impaired and the Company is not required to perform further testing. If the carrying value of the net assets assigned to the reporting unit exceeds the fair value of that unit, then the Company must perform the second step of the impairment test in order to determine the implied fair value of the reporting entity’s goodwill. If the carrying value of a reporting unit’s goodwill exceeds it implied fair value, the Company records an impairment loss equal to the difference.</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performed its annual assessment of goodwill of the Windtec and PSNA reporting units on March 31, 2011. The Company’s annual assessment date corresponded with a triggering event caused by the refusal by Sinovel to accept scheduled shipments from the Company on March 31, 2011. As a result of reductions in its revenue and operating forecasts related to Sinovel and certain of its other customers in China, the Company determined that the goodwill related to both the Windtec and PSNA reporting units was fully impaired. Accordingly, the Company recorded impairment charges of $42.1 million and $6.9 million for the Windtec and PSNA reporting units, respectively, during the fourth quarter of the year ended March 31, 2011. The Company had no goodwill as of March 31, 2012 and March 31, 2011.</w:t>
      </w:r>
    </w:p>
    <w:p>
      <w:pPr>
        <w:sectPr>
          <w:pgSz w:w="11900" w:h="16838" w:orient="portrait"/>
          <w:cols w:equalWidth="0" w:num="1">
            <w:col w:w="11420"/>
          </w:cols>
          <w:pgMar w:left="240" w:top="459" w:right="239" w:bottom="1440" w:gutter="0" w:footer="0" w:header="0"/>
        </w:sectPr>
      </w:pP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goodwill for the year ended March 31, 2011 and 2010 is as follows (in thousands):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at April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Contingent consideration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foreign exchange rate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at March 31, 2010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Impairment of goodwill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foreign exchange rate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at March 31, 2011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at March 31, 2012 and 2011 consisted of the following (in thousands):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80" w:hanging="176"/>
        <w:spacing w:after="0"/>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26,233</w:t>
      </w:r>
    </w:p>
    <w:p>
      <w:pPr>
        <w:spacing w:after="0" w:line="38"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10,828</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4114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3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36,696</w:t>
      </w:r>
    </w:p>
    <w:p>
      <w:pPr>
        <w:spacing w:after="0" w:line="15"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10,004</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(48,959)</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2,259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4114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0" w:lineRule="exact"/>
        <w:rPr>
          <w:sz w:val="20"/>
          <w:szCs w:val="20"/>
          <w:color w:val="auto"/>
        </w:rPr>
      </w:pPr>
    </w:p>
    <w:p>
      <w:pPr>
        <w:ind w:left="480" w:hanging="476"/>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4114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4114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815" w:lineRule="exact"/>
        <w:rPr>
          <w:sz w:val="20"/>
          <w:szCs w:val="20"/>
          <w:color w:val="auto"/>
        </w:rPr>
      </w:pPr>
    </w:p>
    <w:p>
      <w:pPr>
        <w:sectPr>
          <w:pgSz w:w="11900" w:h="16838" w:orient="portrait"/>
          <w:cols w:equalWidth="0" w:num="2">
            <w:col w:w="9480" w:space="720"/>
            <w:col w:w="12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Gross</w:t>
            </w:r>
          </w:p>
        </w:tc>
        <w:tc>
          <w:tcPr>
            <w:tcW w:w="640" w:type="dxa"/>
            <w:vAlign w:val="bottom"/>
          </w:tcPr>
          <w:p>
            <w:pPr>
              <w:spacing w:after="0"/>
              <w:rPr>
                <w:sz w:val="11"/>
                <w:szCs w:val="11"/>
                <w:color w:val="auto"/>
              </w:rPr>
            </w:pPr>
          </w:p>
        </w:tc>
        <w:tc>
          <w:tcPr>
            <w:tcW w:w="94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3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Net Book</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78"/>
              </w:rPr>
              <w:t>Gross</w:t>
            </w: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Net Book</w:t>
            </w:r>
          </w:p>
        </w:tc>
        <w:tc>
          <w:tcPr>
            <w:tcW w:w="6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Amortization</w:t>
            </w:r>
          </w:p>
        </w:tc>
        <w:tc>
          <w:tcPr>
            <w:tcW w:w="3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Licenses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$ 2,671</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9,038</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(4,891)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4,147</w:t>
            </w:r>
          </w:p>
        </w:tc>
        <w:tc>
          <w:tcPr>
            <w:tcW w:w="126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5,611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(4,813)</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798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5,841</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(4,245)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1,596</w:t>
            </w:r>
          </w:p>
        </w:tc>
        <w:tc>
          <w:tcPr>
            <w:tcW w:w="126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6"/>
              </w:rPr>
              <w:t>5 - 10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$ 3,772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19,068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7,054</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vMerge w:val="restart"/>
          </w:tcPr>
          <w:p>
            <w:pPr>
              <w:jc w:val="right"/>
              <w:ind w:right="12"/>
              <w:spacing w:after="0"/>
              <w:rPr>
                <w:sz w:val="20"/>
                <w:szCs w:val="20"/>
                <w:color w:val="auto"/>
              </w:rPr>
            </w:pPr>
            <w:r>
              <w:rPr>
                <w:rFonts w:ascii="Arial" w:cs="Arial" w:eastAsia="Arial" w:hAnsi="Arial"/>
                <w:sz w:val="18"/>
                <w:szCs w:val="18"/>
                <w:color w:val="auto"/>
              </w:rPr>
              <w:t>72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recorded intangible amortization expense of $2.6 million, $2.9 million, and $2.7 million for the years ended March 31, 2012, 2011, and 2010, respectively. During the fourth quarter of the year ended March 31, 2012, the Company elected to change its accounting policy for legal costs to defend and maintain its patents. Historically, the Company capitalized these costs and amortized them over the useful lives of the patents. In the fourth quarter, the Company determined a change to expense these costs as incurred is preferable, and elected to make that change by expensing the remaining unamortized patent costs of $4.9 million.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0" w:type="dxa"/>
            <w:vAlign w:val="bottom"/>
            <w:gridSpan w:val="3"/>
          </w:tcPr>
          <w:p>
            <w:pPr>
              <w:ind w:left="460"/>
              <w:spacing w:after="0"/>
              <w:rPr>
                <w:sz w:val="20"/>
                <w:szCs w:val="20"/>
                <w:color w:val="auto"/>
              </w:rPr>
            </w:pPr>
            <w:r>
              <w:rPr>
                <w:rFonts w:ascii="Arial" w:cs="Arial" w:eastAsia="Arial" w:hAnsi="Arial"/>
                <w:sz w:val="14"/>
                <w:szCs w:val="14"/>
                <w:b w:val="1"/>
                <w:bCs w:val="1"/>
                <w:color w:val="auto"/>
              </w:rPr>
              <w:t>For the Years Ended March 31,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6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2014</w:t>
            </w: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2016</w:t>
            </w: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ind w:left="460"/>
              <w:spacing w:after="0"/>
              <w:rPr>
                <w:sz w:val="20"/>
                <w:szCs w:val="20"/>
                <w:color w:val="auto"/>
              </w:rPr>
            </w:pPr>
            <w:r>
              <w:rPr>
                <w:rFonts w:ascii="Arial" w:cs="Arial" w:eastAsia="Arial" w:hAnsi="Arial"/>
                <w:sz w:val="18"/>
                <w:szCs w:val="18"/>
                <w:color w:val="auto"/>
              </w:rPr>
              <w:t>The geographic composition of goodwill and intangible assets is as follows (in thousands):</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2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by geography:</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$3,469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3,772</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ind w:left="460"/>
              <w:spacing w:after="0"/>
              <w:rPr>
                <w:sz w:val="20"/>
                <w:szCs w:val="20"/>
                <w:color w:val="auto"/>
              </w:rPr>
            </w:pPr>
            <w:r>
              <w:rPr>
                <w:rFonts w:ascii="Arial" w:cs="Arial" w:eastAsia="Arial" w:hAnsi="Arial"/>
                <w:sz w:val="18"/>
                <w:szCs w:val="18"/>
                <w:color w:val="auto"/>
              </w:rPr>
              <w:t>The business segment composition of intangible assets is as follows (in thousands):</w:t>
            </w: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by business segments:</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220"/>
              <w:spacing w:after="0"/>
              <w:rPr>
                <w:sz w:val="20"/>
                <w:szCs w:val="20"/>
                <w:color w:val="auto"/>
              </w:rPr>
            </w:pPr>
            <w:r>
              <w:rPr>
                <w:rFonts w:ascii="Arial" w:cs="Arial" w:eastAsia="Arial" w:hAnsi="Arial"/>
                <w:sz w:val="18"/>
                <w:szCs w:val="18"/>
                <w:color w:val="auto"/>
              </w:rPr>
              <w:t>Wind</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$ 1,119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Grid</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3,772</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jc w:val="right"/>
              <w:ind w:right="5820"/>
              <w:spacing w:after="0"/>
              <w:rPr>
                <w:sz w:val="20"/>
                <w:szCs w:val="20"/>
                <w:color w:val="auto"/>
              </w:rPr>
            </w:pPr>
            <w:r>
              <w:rPr>
                <w:rFonts w:ascii="Arial" w:cs="Arial" w:eastAsia="Arial" w:hAnsi="Arial"/>
                <w:sz w:val="18"/>
                <w:szCs w:val="18"/>
                <w:b w:val="1"/>
                <w:bCs w:val="1"/>
                <w:color w:val="auto"/>
                <w:w w:val="87"/>
              </w:rPr>
              <w:t>9.  Accounts Payable and Accrued Expenses</w:t>
            </w: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0" w:type="dxa"/>
            <w:vAlign w:val="bottom"/>
            <w:gridSpan w:val="3"/>
          </w:tcPr>
          <w:p>
            <w:pPr>
              <w:ind w:left="460"/>
              <w:spacing w:after="0"/>
              <w:rPr>
                <w:sz w:val="20"/>
                <w:szCs w:val="20"/>
                <w:color w:val="auto"/>
              </w:rPr>
            </w:pPr>
            <w:r>
              <w:rPr>
                <w:rFonts w:ascii="Arial" w:cs="Arial" w:eastAsia="Arial" w:hAnsi="Arial"/>
                <w:sz w:val="18"/>
                <w:szCs w:val="18"/>
                <w:color w:val="auto"/>
              </w:rPr>
              <w:t>Accounts payable and accrued expenses consisted of the following (in thousands):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6"/>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$ 8,191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$40,074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Accrued inventories in-transit</w:t>
            </w: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3,330</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miscellaneous expenses</w:t>
            </w: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9,708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Accrued subcontractor program costs</w:t>
            </w: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1,885</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8,380</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660" w:type="dxa"/>
            <w:vAlign w:val="bottom"/>
            <w:gridSpan w:val="3"/>
          </w:tcPr>
          <w:p>
            <w:pPr>
              <w:jc w:val="right"/>
              <w:ind w:right="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37,582</w:t>
            </w:r>
          </w:p>
        </w:tc>
        <w:tc>
          <w:tcPr>
            <w:tcW w:w="4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jc w:val="right"/>
              <w:ind w:right="3400"/>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 The following is a summary of accrued warranty activity (in thousands):</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$ 7,907</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1240" w:type="dxa"/>
            <w:vAlign w:val="bottom"/>
            <w:gridSpan w:val="4"/>
          </w:tcPr>
          <w:p>
            <w:pPr>
              <w:jc w:val="right"/>
              <w:ind w:right="552"/>
              <w:spacing w:after="0"/>
              <w:rPr>
                <w:sz w:val="20"/>
                <w:szCs w:val="20"/>
                <w:color w:val="auto"/>
              </w:rPr>
            </w:pPr>
            <w:r>
              <w:rPr>
                <w:rFonts w:ascii="Arial" w:cs="Arial" w:eastAsia="Arial" w:hAnsi="Arial"/>
                <w:sz w:val="18"/>
                <w:szCs w:val="18"/>
                <w:color w:val="auto"/>
              </w:rPr>
              <w:t>(906)</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(1,105)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80" w:type="dxa"/>
            <w:vAlign w:val="bottom"/>
            <w:vMerge w:val="continue"/>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$ 5,896</w:t>
            </w:r>
          </w:p>
        </w:tc>
        <w:tc>
          <w:tcPr>
            <w:tcW w:w="66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$ 7,907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(loss) before income taxes for the years ended March 31, 2012, 2011, and 2010 are provided in the table as follows (in thousands):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For the Years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20" w:type="dxa"/>
            <w:vAlign w:val="bottom"/>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 expense:</w:t>
            </w:r>
          </w:p>
        </w:tc>
        <w:tc>
          <w:tcPr>
            <w:tcW w:w="3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U.S.</w:t>
            </w:r>
          </w:p>
        </w:tc>
        <w:tc>
          <w:tcPr>
            <w:tcW w:w="4040" w:type="dxa"/>
            <w:vAlign w:val="bottom"/>
            <w:gridSpan w:val="5"/>
          </w:tcPr>
          <w:p>
            <w:pPr>
              <w:jc w:val="right"/>
              <w:ind w:right="80"/>
              <w:spacing w:after="0"/>
              <w:rPr>
                <w:sz w:val="20"/>
                <w:szCs w:val="20"/>
                <w:color w:val="auto"/>
              </w:rPr>
            </w:pPr>
            <w:r>
              <w:rPr>
                <w:rFonts w:ascii="Arial" w:cs="Arial" w:eastAsia="Arial" w:hAnsi="Arial"/>
                <w:sz w:val="18"/>
                <w:szCs w:val="18"/>
                <w:color w:val="auto"/>
              </w:rPr>
              <w:t>$(107,301)</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 (61,436)</w:t>
            </w:r>
          </w:p>
        </w:tc>
        <w:tc>
          <w:tcPr>
            <w:tcW w:w="44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 (43,672)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(28,157)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(108,895)</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80,428</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404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(135,458)</w:t>
            </w:r>
          </w:p>
        </w:tc>
        <w:tc>
          <w:tcPr>
            <w:tcW w:w="11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(170,331)</w:t>
            </w:r>
          </w:p>
        </w:tc>
        <w:tc>
          <w:tcPr>
            <w:tcW w:w="440" w:type="dxa"/>
            <w:vAlign w:val="bottom"/>
          </w:tcPr>
          <w:p>
            <w:pPr>
              <w:spacing w:after="0"/>
              <w:rPr>
                <w:sz w:val="19"/>
                <w:szCs w:val="19"/>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$ 36,756</w:t>
            </w:r>
          </w:p>
        </w:tc>
        <w:tc>
          <w:tcPr>
            <w:tcW w:w="0" w:type="dxa"/>
            <w:vAlign w:val="bottom"/>
          </w:tcPr>
          <w:p>
            <w:pPr>
              <w:spacing w:after="0"/>
              <w:rPr>
                <w:sz w:val="1"/>
                <w:szCs w:val="1"/>
                <w:color w:val="auto"/>
              </w:rPr>
            </w:pPr>
          </w:p>
        </w:tc>
      </w:tr>
      <w:tr>
        <w:trPr>
          <w:trHeight w:val="20"/>
        </w:trPr>
        <w:tc>
          <w:tcPr>
            <w:tcW w:w="724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60" w:type="dxa"/>
            <w:vAlign w:val="bottom"/>
            <w:gridSpan w:val="12"/>
          </w:tcPr>
          <w:p>
            <w:pPr>
              <w:spacing w:after="0"/>
              <w:rPr>
                <w:sz w:val="20"/>
                <w:szCs w:val="20"/>
                <w:color w:val="auto"/>
              </w:rPr>
            </w:pPr>
            <w:r>
              <w:rPr>
                <w:rFonts w:ascii="Arial" w:cs="Arial" w:eastAsia="Arial" w:hAnsi="Arial"/>
                <w:sz w:val="18"/>
                <w:szCs w:val="18"/>
                <w:color w:val="auto"/>
                <w:w w:val="97"/>
              </w:rPr>
              <w:t>The components of income tax expense (benefit) attributable to continuing operations consist of the following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5"/>
          </w:tcPr>
          <w:p>
            <w:pPr>
              <w:jc w:val="center"/>
              <w:ind w:left="140"/>
              <w:spacing w:after="0"/>
              <w:rPr>
                <w:sz w:val="20"/>
                <w:szCs w:val="20"/>
                <w:color w:val="auto"/>
              </w:rPr>
            </w:pPr>
            <w:r>
              <w:rPr>
                <w:rFonts w:ascii="Arial" w:cs="Arial" w:eastAsia="Arial" w:hAnsi="Arial"/>
                <w:sz w:val="14"/>
                <w:szCs w:val="14"/>
                <w:b w:val="1"/>
                <w:bCs w:val="1"/>
                <w:color w:val="auto"/>
                <w:w w:val="86"/>
              </w:rPr>
              <w:t>For the Years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gridSpan w:val="2"/>
          </w:tcPr>
          <w:p>
            <w:pPr>
              <w:spacing w:after="0"/>
              <w:rPr>
                <w:sz w:val="12"/>
                <w:szCs w:val="12"/>
                <w:color w:val="auto"/>
              </w:rPr>
            </w:pPr>
          </w:p>
        </w:tc>
        <w:tc>
          <w:tcPr>
            <w:tcW w:w="50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Foreign</w:t>
            </w:r>
          </w:p>
        </w:tc>
        <w:tc>
          <w:tcPr>
            <w:tcW w:w="3540" w:type="dxa"/>
            <w:vAlign w:val="bottom"/>
            <w:gridSpan w:val="2"/>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1,369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12,438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54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12,438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Deferred</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State</w:t>
            </w: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(2,742)</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3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1,369</w:t>
            </w:r>
          </w:p>
        </w:tc>
        <w:tc>
          <w:tcPr>
            <w:tcW w:w="15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15,953</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180" w:type="dxa"/>
            <w:vAlign w:val="bottom"/>
            <w:vMerge w:val="restart"/>
          </w:tcPr>
          <w:p>
            <w:pPr>
              <w:jc w:val="right"/>
              <w:ind w:right="1812"/>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the statutory federal income tax rate and the Company’s effective income tax rate is shown below.</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For the Years 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2011</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federal income tax rate</w:t>
            </w:r>
          </w:p>
        </w:tc>
        <w:tc>
          <w:tcPr>
            <w:tcW w:w="1040" w:type="dxa"/>
            <w:vAlign w:val="bottom"/>
            <w:tcBorders>
              <w:right w:val="single" w:sz="8" w:color="CCEEFF"/>
            </w:tcBorders>
            <w:gridSpan w:val="4"/>
            <w:shd w:val="clear" w:color="auto" w:fill="CCEEFF"/>
          </w:tcPr>
          <w:p>
            <w:pPr>
              <w:jc w:val="right"/>
              <w:ind w:right="457"/>
              <w:spacing w:after="0"/>
              <w:rPr>
                <w:sz w:val="20"/>
                <w:szCs w:val="20"/>
                <w:color w:val="auto"/>
              </w:rPr>
            </w:pPr>
            <w:r>
              <w:rPr>
                <w:rFonts w:ascii="Arial" w:cs="Arial" w:eastAsia="Arial" w:hAnsi="Arial"/>
                <w:sz w:val="18"/>
                <w:szCs w:val="18"/>
                <w:color w:val="auto"/>
                <w:w w:val="99"/>
              </w:rPr>
              <w:t>(34%)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gridSpan w:val="3"/>
          </w:tcPr>
          <w:p>
            <w:pPr>
              <w:jc w:val="right"/>
              <w:ind w:right="12"/>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Foreign income tax rate differential</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46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4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 Impairment</w:t>
            </w:r>
          </w:p>
        </w:tc>
        <w:tc>
          <w:tcPr>
            <w:tcW w:w="46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9"/>
        </w:trPr>
        <w:tc>
          <w:tcPr>
            <w:tcW w:w="9040" w:type="dxa"/>
            <w:vAlign w:val="bottom"/>
            <w:gridSpan w:val="5"/>
          </w:tcPr>
          <w:p>
            <w:pPr>
              <w:spacing w:after="0"/>
              <w:rPr>
                <w:sz w:val="20"/>
                <w:szCs w:val="20"/>
                <w:color w:val="auto"/>
              </w:rPr>
            </w:pPr>
            <w:r>
              <w:rPr>
                <w:rFonts w:ascii="Arial" w:cs="Arial" w:eastAsia="Arial" w:hAnsi="Arial"/>
                <w:sz w:val="18"/>
                <w:szCs w:val="18"/>
                <w:color w:val="auto"/>
                <w:w w:val="91"/>
              </w:rPr>
              <w:t>The following is a summary of the principal components of the Company’s deferred tax assets and liabilities (in thousands):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225,640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194,216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and other tax credits and carryforwards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Accruals and reserves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45,917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and intangible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295,315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272,776</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gridSpan w:val="2"/>
          </w:tcPr>
          <w:p>
            <w:pPr>
              <w:spacing w:after="0"/>
              <w:rPr>
                <w:sz w:val="19"/>
                <w:szCs w:val="19"/>
                <w:color w:val="auto"/>
              </w:rPr>
            </w:pPr>
          </w:p>
        </w:tc>
        <w:tc>
          <w:tcPr>
            <w:tcW w:w="980" w:type="dxa"/>
            <w:vAlign w:val="bottom"/>
            <w:gridSpan w:val="3"/>
          </w:tcPr>
          <w:p>
            <w:pPr>
              <w:jc w:val="right"/>
              <w:ind w:right="115"/>
              <w:spacing w:after="0"/>
              <w:rPr>
                <w:sz w:val="20"/>
                <w:szCs w:val="20"/>
                <w:color w:val="auto"/>
              </w:rPr>
            </w:pPr>
            <w:r>
              <w:rPr>
                <w:rFonts w:ascii="Arial" w:cs="Arial" w:eastAsia="Arial" w:hAnsi="Arial"/>
                <w:sz w:val="18"/>
                <w:szCs w:val="18"/>
                <w:color w:val="auto"/>
                <w:w w:val="98"/>
              </w:rPr>
              <w:t>(252,302)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(220,596)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from acquisitions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Intercompany debt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15"/>
              <w:spacing w:after="0"/>
              <w:rPr>
                <w:sz w:val="20"/>
                <w:szCs w:val="20"/>
                <w:color w:val="auto"/>
              </w:rPr>
            </w:pPr>
            <w:r>
              <w:rPr>
                <w:rFonts w:ascii="Arial" w:cs="Arial" w:eastAsia="Arial" w:hAnsi="Arial"/>
                <w:sz w:val="18"/>
                <w:szCs w:val="18"/>
                <w:color w:val="auto"/>
                <w:w w:val="92"/>
              </w:rPr>
              <w:t>(35,185)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(33,872)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(7,828)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66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15"/>
              <w:spacing w:after="0"/>
              <w:rPr>
                <w:sz w:val="20"/>
                <w:szCs w:val="20"/>
                <w:color w:val="auto"/>
              </w:rPr>
            </w:pPr>
            <w:r>
              <w:rPr>
                <w:rFonts w:ascii="Arial" w:cs="Arial" w:eastAsia="Arial" w:hAnsi="Arial"/>
                <w:sz w:val="18"/>
                <w:szCs w:val="18"/>
                <w:color w:val="auto"/>
                <w:w w:val="92"/>
              </w:rPr>
              <w:t>(43,013)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(52,180)</w:t>
            </w: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provided a full valuation allowance against its net deferred income tax assets since it is more likely than not that its deferred tax assets are not currently realizable due to the net operating losses incurred by the Company since its inception and net operating losses forecasted in the future. The Company has recorded a deferred tax asset of approximately $14.9 million reflecting the benefit of deductions from the exercise of stock options. This deferred tax asset has been fully reserved since it is more likely than not that the tax benefit from the exercise of stock options will not be realized. The tax benefit will be recorded as a credit to additional paid-in capital if realized.</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2012, the Company has aggregate net operating loss carryforwards in the U.S. for federal and state income tax purposes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$620 million and $329 million, respectively, which expire in the years ending March 31, 2013 through 2032. Also included in the U.S. net operating losses is $3.7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acquired losses from Power Quality Systems, Inc. Of this amount, $52.3 million results from excess tax deductions from stock option exercised in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2012. Pursuant to the guidance on accounting for stock-based compensation, the deferred tax asset relating to excess tax benefits from these exercises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not recognized for financial statement purposes. The future benefit from these deductions will be recorded as a credit to additional paid-in capital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realized. Research and development and other tax credit carryforwards amounting to approximately $7.4 million and $2.8 million are available to offset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state income taxes, respectively, and will expire in the years ending March 31, 2013 through 2032.</w:t>
      </w:r>
    </w:p>
    <w:p>
      <w:pPr>
        <w:spacing w:after="0" w:line="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March 31, 2012, the Company has aggregate net operating loss carryforwards for its Austrian operation of approximately $67.0 million which can be carried forward indefinitely subject to certain annual limitations. AMSC China incurred a net operating loss of $13.8 million for the year ended March 31, 2012 which can be carried forward for five years. Also the Company had immaterial amounts of current and net operating loss carryforwards for its other foreign operations which can be carried forward indefinitely.</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382 of the US Internal Revenue Code of 1986, as amended (the “IRC”), provides limits on the extent to which a corporation that has undergone an ownership change (as defined) can utilize any NOL and general business tax credit carryforwards it may have. The Company performed a study to determine whether Section 382 could limit the use of its carryforwards in this manner. After completing this study, the Company has concluded that the limitation will not have a material impact on its ability to utilize its net operating loss carryforwards.</w:t>
      </w:r>
    </w:p>
    <w:p>
      <w:pPr>
        <w:spacing w:after="0" w:line="6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evaluates its permanent reinvestment assertions with respect to foreign earnings at each reporting period. During the year ended March 31, 2012, the Company changed its permanent reinvestment assertion with respect to only a portion of its unremitted earnings in its Austrian subsidiary. The repatriation was in the form of a loan in the amount of $13.2 million, plus accrued interest through March 31, 2012. No income taxes were due as a result of the repatriation because of substantial tax benefits available in the United States. The Company’s subsidiary in Austria has accumulated approximately $147 million of the total $149 million of estimated undistributed earnings as of March 31, 2012, which continues to be permanently reinvested by the Company.</w:t>
      </w:r>
    </w:p>
    <w:p>
      <w:pPr>
        <w:spacing w:after="0" w:line="3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all other foreign subsidiaries a provision has not been made for United States or additional foreign taxes on undistributed earnings of foreign subsidiaries as the Company plans to utilize these undistributed earnings primarily to finance operating requirements of subsidiaries outside of the United States. In the event of distribution of those earnings in the form of dividends or otherwise, the Company would be subject to U.S. income taxes, subject to an adjustment, if any, for foreign tax credits. Determination of the amount of U.S. income tax liability that would be incurred is not practicable because of the complexities associated with this hypothetical calculation.</w:t>
      </w:r>
    </w:p>
    <w:p>
      <w:pPr>
        <w:spacing w:after="0" w:line="6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has gross unrecognized tax benefits of approximately $1.1 million and $0.3 million at March 31, 2012 and 2011, respectively. These amounts represent the amount of unrecognized tax benefits that, if recognized, would result in a reduction of the Company’s effective tax 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quarter ended September 30, 2011, the Company concluded a tax audit for the period January 1, 2006 through March 31, 2008 with its foreign subsidiary in Austria. The results of the audit concluded that previously deducted amounts for certain trade-mark and management fees related to corporate affairs charges would no longer be tax deductible.</w:t>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A tabular roll-forward of the Company’s uncertainties in income tax provision liability is presented below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Increase for tax positions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Increase for tax positions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accounts for interest and penalties related to uncertain tax positions as part of its provision for federal and state income taxes. The Company has not recognized any interest and penalties in the current statement of operations because of the Company’s offsetting net operating losses and tax credits that are available to be carried forward. Any unrecognized tax benefits, if recognized, would favorably affect its effective tax rate in any future period. The Company does not expect that the amounts of unrecognized benefits will change significantly within the next 12 months. Interest and penalties were recorded beginning in the year ended March 31, 2011, but were immaterial amounts.</w:t>
      </w:r>
    </w:p>
    <w:p>
      <w:pPr>
        <w:spacing w:after="0" w:line="3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conducts business globally and, as a result, its subsidiaries file income tax returns in the U.S. federal jurisdiction and various state and foreign jurisdictions. Major tax jurisdictions include the U.S., China and Austria. All U.S. income tax filings for years ending March 31, 1995 through 2012 remain open and subject to examination and all years from the year ended March 31, 2007 through 2013 remain open and subject to examination in Austria. Tax filings in China for calendar years 2008 through 2011 will remain open and subject to examination.</w:t>
      </w:r>
    </w:p>
    <w:p>
      <w:pPr>
        <w:spacing w:after="0" w:line="107" w:lineRule="exact"/>
        <w:rPr>
          <w:sz w:val="20"/>
          <w:szCs w:val="20"/>
          <w:color w:val="auto"/>
        </w:rPr>
      </w:pPr>
    </w:p>
    <w:p>
      <w:pPr>
        <w:ind w:left="240" w:right="9420" w:hanging="232"/>
        <w:spacing w:after="0" w:line="391" w:lineRule="auto"/>
        <w:tabs>
          <w:tab w:leader="none" w:pos="39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Public Offering</w:t>
      </w:r>
    </w:p>
    <w:p>
      <w:pPr>
        <w:spacing w:after="0" w:line="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November 2010, the Company issued 4,600,000 shares of common stock at a price of $35.50 per share in a public equity offering, which resulted in net proceeds to the Company of approximately $155.2 million, after deducting the underwriting costs and offering expenses of $8.1 million.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employee stock-based compensation for the years ended March 31, 2012, 2011 and 2010 were as follows (in thousands):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ind w:left="2"/>
              <w:spacing w:after="0"/>
              <w:rPr>
                <w:sz w:val="20"/>
                <w:szCs w:val="20"/>
                <w:color w:val="auto"/>
              </w:rPr>
            </w:pPr>
            <w:r>
              <w:rPr>
                <w:rFonts w:ascii="Arial" w:cs="Arial" w:eastAsia="Arial" w:hAnsi="Arial"/>
                <w:sz w:val="14"/>
                <w:szCs w:val="14"/>
                <w:b w:val="1"/>
                <w:bCs w:val="1"/>
                <w:color w:val="auto"/>
                <w:w w:val="86"/>
              </w:rPr>
              <w:t>For the Years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Restricted stock and stock awards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3,633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9,864</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13,412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13,494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stock options was $6.1 million and $10.3 million for the years ended March 31, 2012 and 2011, respectively. This expense will be recognized over a weighted-average expense period of approximately 1.9 years. The total unrecognized compensation cost for unvested outstanding restricted stock was $5.0 million and $6.3 million for the years ended March 31, 2012 and 2011, respectively. This expense will be recognized over a weighted-average expense period of approximately 1.7 years.</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employee stock-based compensation expense by financial statement line item for the years ended March 31, 2012, 2011 and 2010 (in thousands):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For the Years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2,562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10,272</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9,864</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13,412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13,494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information concerning currently outstanding and exercisable employee and non-employee options: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tcPr>
          <w:p>
            <w:pPr>
              <w:spacing w:after="0"/>
              <w:rPr>
                <w:sz w:val="12"/>
                <w:szCs w:val="12"/>
                <w:color w:val="auto"/>
              </w:rPr>
            </w:pPr>
          </w:p>
        </w:tc>
        <w:tc>
          <w:tcPr>
            <w:tcW w:w="15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spacing w:after="0"/>
              <w:rPr>
                <w:sz w:val="12"/>
                <w:szCs w:val="12"/>
                <w:color w:val="auto"/>
              </w:rPr>
            </w:pPr>
          </w:p>
        </w:tc>
        <w:tc>
          <w:tcPr>
            <w:tcW w:w="15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Options/</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spacing w:after="0"/>
              <w:rPr>
                <w:sz w:val="12"/>
                <w:szCs w:val="12"/>
                <w:color w:val="auto"/>
              </w:rPr>
            </w:pPr>
          </w:p>
        </w:tc>
        <w:tc>
          <w:tcPr>
            <w:tcW w:w="15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Term</w:t>
            </w: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2,004,725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Granted at fair value</w:t>
            </w:r>
          </w:p>
        </w:tc>
        <w:tc>
          <w:tcPr>
            <w:tcW w:w="760" w:type="dxa"/>
            <w:vAlign w:val="bottom"/>
          </w:tcPr>
          <w:p>
            <w:pPr>
              <w:jc w:val="right"/>
              <w:spacing w:after="0"/>
              <w:rPr>
                <w:sz w:val="20"/>
                <w:szCs w:val="20"/>
                <w:color w:val="auto"/>
              </w:rPr>
            </w:pPr>
            <w:r>
              <w:rPr>
                <w:rFonts w:ascii="Arial" w:cs="Arial" w:eastAsia="Arial" w:hAnsi="Arial"/>
                <w:sz w:val="18"/>
                <w:szCs w:val="18"/>
                <w:color w:val="auto"/>
              </w:rPr>
              <w:t>835,450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9.76</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Cancelled/forfeited</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(547,059)</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22.15</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2,290,416</w:t>
            </w: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2012</w:t>
            </w: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20" w:type="dxa"/>
            <w:vAlign w:val="bottom"/>
            <w:gridSpan w:val="3"/>
            <w:vMerge w:val="restart"/>
          </w:tcPr>
          <w:p>
            <w:pPr>
              <w:jc w:val="right"/>
              <w:ind w:right="800"/>
              <w:spacing w:after="0"/>
              <w:rPr>
                <w:sz w:val="20"/>
                <w:szCs w:val="20"/>
                <w:color w:val="auto"/>
              </w:rPr>
            </w:pPr>
            <w:r>
              <w:rPr>
                <w:rFonts w:ascii="Arial" w:cs="Arial" w:eastAsia="Arial" w:hAnsi="Arial"/>
                <w:sz w:val="18"/>
                <w:szCs w:val="18"/>
                <w:color w:val="auto"/>
              </w:rPr>
              <w:t>5.2</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1,122,320</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320" w:type="dxa"/>
            <w:vAlign w:val="bottom"/>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March 31, 2012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2,198,771</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weighted-average grant-date fair value of stock option awards granted during the years ended March 31, 2012, 2011 and 2010 was $6.02 per share, $17.43 per share and $28.29 per share, respectively. Intrinsic value represents the amount by which the market price of the common stock exceeds the exercise price of the options. Given the decline in the Company’s stock price, exercisable options as of March 31, 2012 had minimal intrinsic value. The aggregate intrinsic value of exercisable options at March 31, 2011 and 2010 was $8.7 million and $16.4 million, respectively. The aggregate intrinsic value of options exercised at March 31, 2011 and 2010 was $13.0 million and $11.4 million, respectively. Given the decline in the Company’s stock price, the aggregate intrinsic value of options exercised at March 31, 2012 was minimal.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weighted average assumptions used in the Black-Scholes valuation model for stock options granted during the years ended March 31, 2012, 2011, and 2010 are as follows: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For the Years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8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860" w:type="dxa"/>
            <w:vAlign w:val="bottom"/>
            <w:gridSpan w:val="2"/>
          </w:tcPr>
          <w:p>
            <w:pPr>
              <w:jc w:val="center"/>
              <w:ind w:left="322"/>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None</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None</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64.2%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Expected life (years)</w:t>
            </w: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r>
    </w:tbl>
    <w:p>
      <w:pPr>
        <w:spacing w:after="0" w:line="66"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employee and non-employee restricted stock activity for the year ended March 31, 2012:</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Fair Value</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626,527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867,661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(406,773)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(157,926)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total fair value of restricted stock that was granted during the years ended March 31, 2012, 2011 and 2010 was $5.6 million, $10.4 million and $6.8 million, respectively. The total fair value of restricted stock that vested during the years ended March 31, 2012, 2011 and 2010 was $4.1 million, $5.5 million and $8.4 million, respectively.</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restricted stock granted during the year ended March 31, 2012 includes approximately 109,211 shares of performance-based restricted stock, which would vest upon achievement of certain financial performance measurements. At March 31, 2011, the Company determined that certain performance measures relating to prior restricted stock grants were not met. As a result, the Company reversed $1.8 million that had been recorded as stock-based compensation expense related to performance-based awards. Such shares were cancelled in May 2011. Included in the table above are 20,250 shares of restricted stock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shares granted vest upon the passage of time. For awards that vest upon the passage of time, expense is being recorded over the vesting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of March 31, 2011, the Company had two active stock plans: the 2007 Stock Incentive Plan (the “2007 Plan”) and the 2007 Director Stock Option Plan (the “2007 Director Plan”). The 2007 Plan replaced the Company’s 2004 Stock Incentive Plan upon the approval by the Company’s stockholders on August 3, 2007. The 2007 Director Plan replaced the Second Amended and Restated 1997 Director Stock Option Plan, which expired pursuant to its terms on May 2, 2007.</w:t>
      </w:r>
    </w:p>
    <w:p>
      <w:pPr>
        <w:spacing w:after="0" w:line="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Plans provide for the issuance of restricted stock, incentive stock options and non-qualified stock options to purchase the Company’s common stock. In the case of incentive stock options, the exercise price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be equal to at least the fair market value of the common stock, as determined by the Board of Directors, on the date of grant. The contractual life of options is generally 10 years. Options generally vest over a 3-5 year period while restricted stock generally vests over a 2-5 year period. The 2007 Director Plan is for members of the Board of Directors who are not also employees of the Company (outside directors). Under an amendment to the 2007 Director Plan effective April, 2009, outside directors are entitled to receive an annual award of 3,000 fully-vested shares of common stock.</w:t>
      </w:r>
    </w:p>
    <w:p>
      <w:pPr>
        <w:spacing w:after="0" w:line="32" w:lineRule="exact"/>
        <w:rPr>
          <w:sz w:val="20"/>
          <w:szCs w:val="20"/>
          <w:color w:val="auto"/>
        </w:rPr>
      </w:pPr>
    </w:p>
    <w:p>
      <w:pPr>
        <w:ind w:left="240" w:right="1360" w:firstLine="228"/>
        <w:spacing w:after="0" w:line="391" w:lineRule="auto"/>
        <w:rPr>
          <w:sz w:val="20"/>
          <w:szCs w:val="20"/>
          <w:color w:val="auto"/>
        </w:rPr>
      </w:pPr>
      <w:r>
        <w:rPr>
          <w:rFonts w:ascii="Arial" w:cs="Arial" w:eastAsia="Arial" w:hAnsi="Arial"/>
          <w:sz w:val="18"/>
          <w:szCs w:val="18"/>
          <w:color w:val="auto"/>
        </w:rPr>
        <w:t xml:space="preserve">As of March 31, 2012, the 2007 Plan had 1,608,057 shares and the 2007 Director Plan had 198,000 shares available for future issuance.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$0.1 million for each of the years ended March 31, 2012, 2011, and 2010, respectively, related to the ESPP. The Company issued 88,553 shares of common stock related to the ESPP during the year ended March 31, 2012. As of March 31, 2012, the ESPP had 439,204 shares available for future issuance.</w:t>
      </w:r>
    </w:p>
    <w:p>
      <w:pPr>
        <w:spacing w:after="0" w:line="107" w:lineRule="exact"/>
        <w:rPr>
          <w:sz w:val="20"/>
          <w:szCs w:val="20"/>
          <w:color w:val="auto"/>
        </w:rPr>
      </w:pPr>
    </w:p>
    <w:p>
      <w:pPr>
        <w:ind w:left="240" w:right="8460" w:hanging="232"/>
        <w:spacing w:after="0" w:line="347" w:lineRule="auto"/>
        <w:tabs>
          <w:tab w:leader="none" w:pos="40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As of March 31, 2012 and 2011, the Company recorded a liability for adverse purchase commitments of $25.9 million and $38.8 million, respectively. During the year ended March 31, 2012, the Company adjusted its accrual for adverse purchase commitments by $1.3 million due to settlements with vendors.</w:t>
      </w:r>
    </w:p>
    <w:p>
      <w:pPr>
        <w:spacing w:after="0" w:line="3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fourth quarter of the year ended March 31, 2011, several vendors notified the Company that they had suffered losses as a result of procuring safety stock in anticipation of receiving future purchase orders or contracts from the Company. The Company has accrued outstanding adverse purchase commitments based on legally binding contracts and purchase orders that were placed with its vendors for parts with no future demand. The vendor claims for safety stock were not supported by valid purchase orders or executed contracts and not considered part of the adverse purchase commitment liability. The claims for safety stock have not been accrued as of March 31, 2012. The Company has determined that although it believes that there is no legally enforceable contract for safety stock and will continue to defend its legal position that it does not owe amounts for safety stock, that it is reasonably possible that a case may be made against the Company under certain situations. As the loss is reasonably possible but not probable, the Company has not accounted for the loss. The Company has determined that the range for this potential loss is between $0 and $4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Operating leases include minimum payments under leases for our facilities and certain equipment, see Item 2, “Properties.” The Company’s primary leased facilities are located in Middleton and New Berlin, Wisconsin; Suzhou and Beijing, China; and Klagenfurt, Austria with a combined total of approximately 299,000 square feet of space. These leases have varying expiration dates between April 2012 and February 2016 which can generally be terminated at our request after a six month advance notice. The Company leases other locations which focus primarily on applications engineering, sales and/or field service and do not have significant leases or physical presence.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future lease commitments at March 31, 2012 were as follows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For the Years Ended March 31,</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5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2014</w:t>
            </w:r>
          </w:p>
        </w:tc>
        <w:tc>
          <w:tcPr>
            <w:tcW w:w="5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2016</w:t>
            </w:r>
          </w:p>
        </w:tc>
        <w:tc>
          <w:tcPr>
            <w:tcW w:w="5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color w:val="auto"/>
              </w:rPr>
              <w:t>Rent expense under the operating leases mentioned above was as follows (in thousands):</w:t>
            </w: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8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the Years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Rent expense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$3,336</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$2,947</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3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the Company and two of its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 American Superconductor Corporation, et al.</w:t>
      </w:r>
      <w:r>
        <w:rPr>
          <w:rFonts w:ascii="Arial" w:cs="Arial" w:eastAsia="Arial" w:hAnsi="Arial"/>
          <w:sz w:val="16"/>
          <w:szCs w:val="16"/>
          <w:color w:val="auto"/>
        </w:rPr>
        <w:t>, Docket No. 1:11-cv-10582-WGY. On August 31, 2011, Lead Plaintiff, the Plumbers and Pipefitters National Pension Fund, filed a consolidated amended complaint against the Company, its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the Company and its officers omitted to state material facts and made materially false and misleading statements relating to, among other things, its projected and recognized revenues and earnings, as well as its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the Company and its officers, and taking under advisement the motion to dismiss the Exchange Act claims against the Company and its officers and the motion to dismiss the Securities Act claims made against the underwriters. To date, district court has not issued an order regarding the Exchange Act claims against the Company and its officers or the Securities Act claims against the underwriters, so those matters remain under advisement.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the Company (as a nominal defendant) and certain of its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On January 12, 2012, an additional shareholder derivative complaint was filed in the Court of Chancery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State of Delaware. That matter is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the Company, as well as an award of costs and expenses, including attorney’s fees.</w:t>
      </w:r>
    </w:p>
    <w:p>
      <w:pPr>
        <w:spacing w:after="0" w:line="4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With respect to the above referenced litigation matters, an estimate of loss or range of loss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w:t>
      </w:r>
    </w:p>
    <w:p>
      <w:pPr>
        <w:spacing w:after="0" w:line="39"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and retention (including interest) in the amount of approximately RMB 485 million ($76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4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the Company for breach of the same contracts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which the Company filed its original arbitration claim. Sinovel claimed, among other things, that the goods supplied by the Company do not conform to the standards specified in the contracts and claimed damages in the amount of approximately RMB 105 million ($17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Company also submitted a civil action application to the Beijing No. 1 Intermediate People’s Court under the caption </w:t>
      </w:r>
      <w:r>
        <w:rPr>
          <w:rFonts w:ascii="Arial" w:cs="Arial" w:eastAsia="Arial" w:hAnsi="Arial"/>
          <w:sz w:val="16"/>
          <w:szCs w:val="16"/>
          <w:i w:val="1"/>
          <w:iCs w:val="1"/>
          <w:color w:val="auto"/>
        </w:rPr>
        <w:t>(2011)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15524, </w:t>
      </w:r>
      <w:r>
        <w:rPr>
          <w:rFonts w:ascii="Arial" w:cs="Arial" w:eastAsia="Arial" w:hAnsi="Arial"/>
          <w:sz w:val="16"/>
          <w:szCs w:val="16"/>
          <w:color w:val="auto"/>
        </w:rPr>
        <w:t>against Sinovel for software copyright infringement on September 13, 2011. The application alleges Sinovel’s unauthorized use of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Austrian subsidiary was arrested in Austria on charges of economic espionage and fraudulent manipulation of data. In September 2011, the former employee pled guilty to the charges, and was imprisoned.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No. 1 Intermediate People’s Court accepted the case, which was necessary in order for the case to proceed. In November 2011, Sinovel filed a motion to remove this case from the Beijing No. 1 Intermediate People’s Court and transfer the matter to the Beijing Arbitration Commission. On February 14, 2012, the court denied Sinovel’s motion to remove the case. On February 21, 2012, Sinovel filed an appeal of the Beijing No. 1 Intermediate People’s Court decision to the Beijing Higher People’s Court.</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Company is currently awaiting notice from the Beijing No. 1 Intermediate People’s Court regarding the evidence submission deadline and the first hearing date.</w:t>
      </w:r>
    </w:p>
    <w:p>
      <w:pPr>
        <w:spacing w:after="0" w:line="3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No. 62</w:t>
      </w:r>
      <w:r>
        <w:rPr>
          <w:rFonts w:ascii="Arial" w:cs="Arial" w:eastAsia="Arial" w:hAnsi="Arial"/>
          <w:sz w:val="16"/>
          <w:szCs w:val="16"/>
          <w:color w:val="auto"/>
        </w:rPr>
        <w:t>. The application alleges that the Company’s PM1000 converters in certain Sinovel wind turbines have been replaced by converters produced by Guotong.</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has been released from this case. In December 2011, Sinovel filed a jurisdiction opposition motion requesting dismissal by the Hainan Province No. 1 Intermediate People’s Court, saying the case should be governed by the Beijing Arbitration Commission. On February 3, 2012, the Company received the Civil Ruling from the court, which granted Sinovel’s motion, and dismissed the entire case. The Company appealed the court’s ruling to the Hainan Higher Court, which on April 5, 2012 upheld the decision of the Hainan Province No. 1 Intermediate People’s Court. On April 9, 2012, the Company filed an appeal of the Hainan Higher Court’s decision with China’s Supreme People’s Court. The Supreme Court accepted the appeal on May 23, 2012. The case is captioned, (2010) Min Shen Zi No. 630.</w:t>
      </w:r>
    </w:p>
    <w:p>
      <w:pPr>
        <w:spacing w:after="0" w:line="6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 million). Ghodawat has filed a Reply to Answer to Request for Arbitration and Counterclaim in which it denies AMSC Austria’s counterclaims. The arbitration proceedings are currently ongoing. The Company has recorded a loss contingency based on its assessment of probable losses on this claim; however this amount is immaterial to its consolidated financial statements.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At March 31, 2012 and 2011, the Company had $12.1 million and $5.6 million, respectively, of restricted cash included in current assets, and as of March 31, 2012, $2.5 million of restricted cash included in long-term assets. These amounts included in restricted cash represent deposits to secure letters of credit for various supply contracts. These deposits are held in interest bearing accounts. The Company is working with its inventory suppliers to delay cash settlements and to reduce the gross liability associated with its adverse purchase commitments. During the quarter ending June 30, 2012, the Company agreed to settle adverse purchase commitments with certain of its vendors. In conjunction with these settlements, the Company agreed to provide letters of credit and bank guarantees in the amount of approximately $9.0 million with expirations through January 31, 2013. The letters of credit and bank guarantees were secured with cash collateral of $8.5 million and will result in a reduction of its adverse purchase commitments liability of $7.4 million. See Note 18, “Subsequent Events,” for additional information.</w:t>
      </w:r>
    </w:p>
    <w:p>
      <w:pPr>
        <w:spacing w:after="0" w:line="3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March 31, 2012, the Company had five performance bonds in support of customer contracts. The total value of the outstanding performance bonds is $0.8 million with expiration dates through March 2014. In the event that the payment is made in accordance with the requirements of any of these performance bonds, the Company would record the payment as an offset to revenue.</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had unused, unsecured lines of credit consisting of €2.3 million (approximately $3.1 million) in Austria as of March 31, 2012. During the year ended March 31, 2012, our unsecured credit line with the Bank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of China expired and we repaid borrowings of $4.6 million. There were no borrowings with the Bank of China outstanding as of March 31, 2012.</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has implemented a deferred compensation plan (the “Plan”) under Section 401(k) of the Internal Revenue Code. Any contributions made by the Company to the Plan are discretionary. The Company has a stock match program under which the Company matched, in the form of Company common stock, 50% of the first 6% of eligible contributions. The Company recorded expense of $0.7 million, $0.8 million, and $0.7 million for the years ended March 31, 2012, 2011, and 2010, respectively, and recorded corresponding charges to additional paid-in capital related to this program.</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Equity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Tres Amigas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9, 2009, the Company made an investment in Tres Amigas LLC, a Delaware limited liability company (“Tres Amigas”), focused on providing the first common interconnection of America’s three power grids to help the country achieve its renewable energy goals and facilitate the smooth, reliable and efficient transfer of green power from region to region, for $1.8 million, consisting of $0.8 million in cash and $1.0 million in AMSC common stock. On January 6, 2011 and May 20, 2011, the Company increased its minority position in Tres Amigas by investing an additional $1.8 million in cash on each date. As of March 31, 2012, the Company holds a 26% ownership interest in Tres Amigas.</w:t>
      </w:r>
    </w:p>
    <w:p>
      <w:pPr>
        <w:spacing w:after="0" w:line="3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investment in Tres Amigas is included in other assets on the consolidated balance sheet and the equity in undistributed losses of Tres Amigas is included in other income, net, on the consolidated statements of operations.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investment activity for the year ended March 31, 2012 is as follows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$3,026</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220"/>
              <w:spacing w:after="0"/>
              <w:rPr>
                <w:sz w:val="20"/>
                <w:szCs w:val="20"/>
                <w:color w:val="auto"/>
              </w:rPr>
            </w:pPr>
            <w:r>
              <w:rPr>
                <w:rFonts w:ascii="Arial" w:cs="Arial" w:eastAsia="Arial" w:hAnsi="Arial"/>
                <w:sz w:val="18"/>
                <w:szCs w:val="18"/>
                <w:color w:val="auto"/>
              </w:rPr>
              <w:t>Purchase of minority investment</w:t>
            </w:r>
          </w:p>
        </w:tc>
        <w:tc>
          <w:tcPr>
            <w:tcW w:w="5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Minority interest in net losses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r>
      <w:tr>
        <w:trPr>
          <w:trHeight w:val="222"/>
        </w:trPr>
        <w:tc>
          <w:tcPr>
            <w:tcW w:w="9900" w:type="dxa"/>
            <w:vAlign w:val="bottom"/>
          </w:tcPr>
          <w:p>
            <w:pPr>
              <w:spacing w:after="0"/>
              <w:rPr>
                <w:sz w:val="20"/>
                <w:szCs w:val="20"/>
                <w:color w:val="auto"/>
              </w:rPr>
            </w:pPr>
            <w:r>
              <w:rPr>
                <w:rFonts w:ascii="Arial" w:cs="Arial" w:eastAsia="Arial" w:hAnsi="Arial"/>
                <w:sz w:val="18"/>
                <w:szCs w:val="18"/>
                <w:color w:val="auto"/>
              </w:rPr>
              <w:t>Balance at March 31, 2012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3,859</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As of March 31, 2012, the Company holds a 25% ownership interest in Blade Dynamics.</w:t>
      </w:r>
    </w:p>
    <w:p>
      <w:pPr>
        <w:spacing w:after="0" w:line="5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has determined that Blade Dynamics is a variable interest entity (“VIE”) and that the Company is not the primary beneficiary of the VIE. Therefore, the Company has not consolidated Blade Dynamics as of March 31, 2012. The investment is carried at the acquisition cost, plus the Company’s equity in undistributed earnings or losses. The Company’s maximum exposure to loss is limited to the Company’s recorded investment in this VIE. The Company’s investment in Blade Dynamics is included in other assets on the consolidated balance sheet and the equity in undistributed losses of Blade Dynamics is included in other income, net, on the consolidated statements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20" w:type="dxa"/>
            <w:vAlign w:val="bottom"/>
          </w:tcPr>
          <w:p>
            <w:pPr>
              <w:jc w:val="center"/>
              <w:ind w:left="572"/>
              <w:spacing w:after="0"/>
              <w:rPr>
                <w:sz w:val="20"/>
                <w:szCs w:val="20"/>
                <w:color w:val="auto"/>
              </w:rPr>
            </w:pPr>
            <w:r>
              <w:rPr>
                <w:rFonts w:ascii="Arial" w:cs="Arial" w:eastAsia="Arial" w:hAnsi="Arial"/>
                <w:sz w:val="18"/>
                <w:szCs w:val="18"/>
                <w:b w:val="1"/>
                <w:bCs w:val="1"/>
                <w:color w:val="auto"/>
                <w:w w:val="97"/>
              </w:rPr>
              <w:t>AMERICAN SUPERCONDUCTOR CORPORATION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820" w:type="dxa"/>
            <w:vAlign w:val="bottom"/>
          </w:tcPr>
          <w:p>
            <w:pPr>
              <w:jc w:val="center"/>
              <w:ind w:left="552"/>
              <w:spacing w:after="0"/>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40" w:type="dxa"/>
            <w:vAlign w:val="bottom"/>
            <w:gridSpan w:val="2"/>
          </w:tcPr>
          <w:p>
            <w:pPr>
              <w:spacing w:after="0"/>
              <w:rPr>
                <w:sz w:val="20"/>
                <w:szCs w:val="20"/>
                <w:color w:val="auto"/>
              </w:rPr>
            </w:pPr>
            <w:r>
              <w:rPr>
                <w:rFonts w:ascii="Arial" w:cs="Arial" w:eastAsia="Arial" w:hAnsi="Arial"/>
                <w:sz w:val="18"/>
                <w:szCs w:val="18"/>
                <w:color w:val="auto"/>
              </w:rPr>
              <w:t>The net investment activity for the year ended March 31, 2012 is as follows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200"/>
              <w:spacing w:after="0"/>
              <w:rPr>
                <w:sz w:val="20"/>
                <w:szCs w:val="20"/>
                <w:color w:val="auto"/>
              </w:rPr>
            </w:pPr>
            <w:r>
              <w:rPr>
                <w:rFonts w:ascii="Arial" w:cs="Arial" w:eastAsia="Arial" w:hAnsi="Arial"/>
                <w:sz w:val="18"/>
                <w:szCs w:val="18"/>
                <w:color w:val="auto"/>
              </w:rPr>
              <w:t>Minority interest in net losses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foreign exchange rate impact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2"/>
        </w:trPr>
        <w:tc>
          <w:tcPr>
            <w:tcW w:w="9840" w:type="dxa"/>
            <w:vAlign w:val="bottom"/>
            <w:gridSpan w:val="2"/>
          </w:tcPr>
          <w:p>
            <w:pPr>
              <w:spacing w:after="0"/>
              <w:rPr>
                <w:sz w:val="20"/>
                <w:szCs w:val="20"/>
                <w:color w:val="auto"/>
              </w:rPr>
            </w:pPr>
            <w:r>
              <w:rPr>
                <w:rFonts w:ascii="Arial" w:cs="Arial" w:eastAsia="Arial" w:hAnsi="Arial"/>
                <w:sz w:val="18"/>
                <w:szCs w:val="18"/>
                <w:color w:val="auto"/>
              </w:rPr>
              <w:t>Balance at March 31, 2012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Restructuring and Impairments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and ASC Topic 712, </w:t>
      </w:r>
      <w:r>
        <w:rPr>
          <w:rFonts w:ascii="Arial" w:cs="Arial" w:eastAsia="Arial" w:hAnsi="Arial"/>
          <w:sz w:val="18"/>
          <w:szCs w:val="18"/>
          <w:i w:val="1"/>
          <w:iCs w:val="1"/>
          <w:color w:val="auto"/>
        </w:rPr>
        <w:t>Compensation — Nonretirement Postemployment Benefits</w:t>
      </w:r>
      <w:r>
        <w:rPr>
          <w:rFonts w:ascii="Arial" w:cs="Arial" w:eastAsia="Arial" w:hAnsi="Arial"/>
          <w:sz w:val="18"/>
          <w:szCs w:val="18"/>
          <w:color w:val="auto"/>
        </w:rPr>
        <w:t xml:space="preserve"> (“ASC 712”).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6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year ended March 31, 2012, the Company initiated restructuring activities, approved by the Board of Directors, in order to reorganize global operations, streamline various functions of the business, and reduce its global workforce to better reflect the demand for its products. From April 1, 2011 through the date of this filing, the Company has reduced its global workforce by approximately 50%, which is expected to generate significant annual cost savings. During the year ended March 31, 2012, the Company incurred costs associated with the workforce reduction consisting of severance pay, outplacement services, medical benefits, and other related benefits. As a result, for the year ended March 31, 2012, the Company recorded employee severance and benefit costs of $5.3 million. These charges are expected to be paid through June 2014.</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restructuring charges and cash payments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Severance Pay</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Facility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66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Exit Costs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restructuring balance at April 1, 2011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Charges to operations</w:t>
            </w:r>
          </w:p>
        </w:tc>
        <w:tc>
          <w:tcPr>
            <w:tcW w:w="22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8"/>
                <w:szCs w:val="18"/>
                <w:color w:val="auto"/>
              </w:rPr>
              <w:t>5,319</w:t>
            </w:r>
          </w:p>
        </w:tc>
        <w:tc>
          <w:tcPr>
            <w:tcW w:w="2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5,646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(4,672)</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Accrued restructuring balance at March 31, 2012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8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bl>
    <w:p>
      <w:pPr>
        <w:spacing w:after="0" w:line="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during the year ended March 31, 2012, the Company consolidated certain of its business operations to reduce overall facility costs. The consolidation plan entailed vacating approximately 8,937 square feet of occupied space in Klagenfurt, Austria, approximately 33,000 square feet of unoccupied space in Middleton, WI and approximately 3,300 square feet of occupied space in Nuremburg, Germany. The Klagenfurt and Middleton facility closures were accounted for in accordance with ASC 420.With respect to the Klagenfurt location, the Company recorded a liability equal to the fair value of the remaining lease payments as of the cease-use date. Fair value was determined based upon the discounted present value of remaining lease rentals (using a discount rate of 10.1%) for the space no longer occupied, considering future estimated potential sublease income. With respect to the Middleton location the Company settled with its landlord a final lease payment. As a result, the Company recorded facility exit costs of $0.3 million related to the remaining lease commitments on the leased space in Klagenfurt and Middleton locations. These charges are expected to be paid through March 2013. As of March 31, 2012, the Company had not ceased using the Nuremburg facility and therefore recorded no liability for remaining lease payments. All restructuring charges discussed above are included within restructuring and impairments in the Company’s consolidated statements of operations. The Company includes accrued restructuring within accounts payable and accrued expenses in the consolidated balance sheets.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for the year ended March 31, 2012, the Company recorded impairment charges of $3.6 million, primarily related to long-lived assets for which there is no remaining future economic benefit as a result of our restructuring plan and consolidation of our operations.</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Business Segment and Geographic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reported its financial results in two reportable business segments: Wind and Grid.</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Wind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Grid focuses on manufacturing HTS wire and coils; designs and develops superconductor products, such as power cables, fault current limiters and motors; and manages large-scale superconductor projects.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7"/>
              </w:rPr>
              <w:t>For the Years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680" w:type="dxa"/>
            <w:vAlign w:val="bottom"/>
            <w:gridSpan w:val="3"/>
          </w:tcPr>
          <w:p>
            <w:pPr>
              <w:jc w:val="right"/>
              <w:ind w:right="1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66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$44,642</w:t>
            </w: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$231,761</w:t>
            </w: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251,487</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Grid</w:t>
            </w:r>
          </w:p>
        </w:tc>
        <w:tc>
          <w:tcPr>
            <w:tcW w:w="2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31,901</w:t>
            </w:r>
          </w:p>
        </w:tc>
        <w:tc>
          <w:tcPr>
            <w:tcW w:w="1320" w:type="dxa"/>
            <w:vAlign w:val="bottom"/>
            <w:gridSpan w:val="5"/>
          </w:tcPr>
          <w:p>
            <w:pPr>
              <w:jc w:val="right"/>
              <w:ind w:right="540"/>
              <w:spacing w:after="0"/>
              <w:rPr>
                <w:sz w:val="20"/>
                <w:szCs w:val="20"/>
                <w:color w:val="auto"/>
              </w:rPr>
            </w:pPr>
            <w:r>
              <w:rPr>
                <w:rFonts w:ascii="Arial" w:cs="Arial" w:eastAsia="Arial" w:hAnsi="Arial"/>
                <w:sz w:val="18"/>
                <w:szCs w:val="18"/>
                <w:color w:val="auto"/>
              </w:rPr>
              <w:t>54,842</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76,543</w:t>
            </w:r>
          </w:p>
        </w:tc>
        <w:tc>
          <w:tcPr>
            <w:tcW w:w="1320" w:type="dxa"/>
            <w:vAlign w:val="bottom"/>
            <w:tcBorders>
              <w:right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286,603</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315,955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Operating (Loss) Income</w:t>
            </w: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Years Ended March 31,</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40" w:type="dxa"/>
            <w:vAlign w:val="bottom"/>
            <w:gridSpan w:val="4"/>
            <w:vMerge w:val="continue"/>
          </w:tcPr>
          <w:p>
            <w:pPr>
              <w:spacing w:after="0"/>
              <w:rPr>
                <w:sz w:val="12"/>
                <w:szCs w:val="12"/>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68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5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(62,217)</w:t>
            </w: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$(100,546)</w:t>
            </w: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91,000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Grid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(29,645)</w:t>
            </w:r>
          </w:p>
        </w:tc>
        <w:tc>
          <w:tcPr>
            <w:tcW w:w="480" w:type="dxa"/>
            <w:vAlign w:val="bottom"/>
          </w:tcPr>
          <w:p>
            <w:pPr>
              <w:spacing w:after="0"/>
              <w:rPr>
                <w:sz w:val="18"/>
                <w:szCs w:val="18"/>
                <w:color w:val="auto"/>
              </w:rPr>
            </w:pPr>
          </w:p>
        </w:tc>
        <w:tc>
          <w:tcPr>
            <w:tcW w:w="1320" w:type="dxa"/>
            <w:vAlign w:val="bottom"/>
            <w:gridSpan w:val="5"/>
          </w:tcPr>
          <w:p>
            <w:pPr>
              <w:jc w:val="right"/>
              <w:ind w:right="480"/>
              <w:spacing w:after="0"/>
              <w:rPr>
                <w:sz w:val="20"/>
                <w:szCs w:val="20"/>
                <w:color w:val="auto"/>
              </w:rPr>
            </w:pPr>
            <w:r>
              <w:rPr>
                <w:rFonts w:ascii="Arial" w:cs="Arial" w:eastAsia="Arial" w:hAnsi="Arial"/>
                <w:sz w:val="18"/>
                <w:szCs w:val="18"/>
                <w:color w:val="auto"/>
              </w:rPr>
              <w:t>(63,855)</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480" w:type="dxa"/>
            <w:vAlign w:val="bottom"/>
            <w:tcBorders>
              <w:lef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(13,582)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(14,511)</w:t>
            </w:r>
          </w:p>
        </w:tc>
        <w:tc>
          <w:tcPr>
            <w:tcW w:w="0" w:type="dxa"/>
            <w:vAlign w:val="bottom"/>
          </w:tcPr>
          <w:p>
            <w:pPr>
              <w:spacing w:after="0"/>
              <w:rPr>
                <w:sz w:val="1"/>
                <w:szCs w:val="1"/>
                <w:color w:val="auto"/>
              </w:rPr>
            </w:pPr>
          </w:p>
        </w:tc>
      </w:tr>
      <w:tr>
        <w:trPr>
          <w:trHeight w:val="20"/>
        </w:trPr>
        <w:tc>
          <w:tcPr>
            <w:tcW w:w="72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40" w:type="dxa"/>
            <w:vAlign w:val="bottom"/>
            <w:gridSpan w:val="4"/>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(136,439)</w:t>
            </w:r>
          </w:p>
        </w:tc>
        <w:tc>
          <w:tcPr>
            <w:tcW w:w="480" w:type="dxa"/>
            <w:vAlign w:val="bottom"/>
          </w:tcPr>
          <w:p>
            <w:pPr>
              <w:spacing w:after="0"/>
              <w:rPr>
                <w:sz w:val="19"/>
                <w:szCs w:val="19"/>
                <w:color w:val="auto"/>
              </w:rPr>
            </w:pPr>
          </w:p>
        </w:tc>
        <w:tc>
          <w:tcPr>
            <w:tcW w:w="1320" w:type="dxa"/>
            <w:vAlign w:val="bottom"/>
            <w:gridSpan w:val="5"/>
          </w:tcPr>
          <w:p>
            <w:pPr>
              <w:jc w:val="right"/>
              <w:ind w:right="4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(177,983)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4"/>
            <w:vMerge w:val="restart"/>
          </w:tcPr>
          <w:p>
            <w:pPr>
              <w:spacing w:after="0"/>
              <w:rPr>
                <w:sz w:val="20"/>
                <w:szCs w:val="20"/>
                <w:color w:val="auto"/>
              </w:rPr>
            </w:pPr>
            <w:r>
              <w:rPr>
                <w:rFonts w:ascii="Arial" w:cs="Arial" w:eastAsia="Arial" w:hAnsi="Arial"/>
                <w:sz w:val="18"/>
                <w:szCs w:val="18"/>
                <w:color w:val="auto"/>
              </w:rPr>
              <w:t>Total business segments assets are as follows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$ 70,054</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78,700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spacing w:after="0"/>
              <w:rPr>
                <w:sz w:val="20"/>
                <w:szCs w:val="20"/>
                <w:color w:val="auto"/>
              </w:rPr>
            </w:pPr>
            <w:r>
              <w:rPr>
                <w:rFonts w:ascii="Arial" w:cs="Arial" w:eastAsia="Arial" w:hAnsi="Arial"/>
                <w:sz w:val="18"/>
                <w:szCs w:val="18"/>
                <w:color w:val="auto"/>
              </w:rPr>
              <w:t>Grid</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89,091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95,911</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276,902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255,056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441,209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accounting policies of the business segments are the same as those for the consolidated Company. Certain corporate expenses which the Company does not believe are specifically attributable or allocable to either of the two business segments have been excluded from the segment operating income.</w:t>
      </w:r>
    </w:p>
    <w:p>
      <w:pPr>
        <w:spacing w:after="0" w:line="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Unallocated corporate expenses include stock-based compensation expense of $9.9 million, $13.4 million and $13.5 million for the years ended March 31, 2012, 2011 and 2010, respectively. For the year ended March 31, 2012, unallocated corporate expenses also included the write-off of advance payment to The Switch of $20.6 million, restructuring and impairment charges of $9.2 million, and an expense of patent costs of $4.9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information about revenue, based on shipments to customers by region, is as follows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$21,347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40,750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North America and South America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14,758</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China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16,929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219,194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241,462</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India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14,212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Asia-Pacific</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76,543</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286,603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315,955</w:t>
            </w:r>
          </w:p>
        </w:tc>
        <w:tc>
          <w:tcPr>
            <w:tcW w:w="10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the year ended March 31, 2012, 2011 and 2010, 72%, 93% and 87% of the Company’s revenues, respectively, were recognized from sales outside the United States. The Company maintains operations in Austria, China and the United States and sales and service support centers around the world.</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year ended March 31, 2012, two customers, Inox Wind and Doosan Heavy Industries, accounted for approximately 18% and 11%, respectively, of the Company’s total revenues. For the years ended March 31, 2011 and 2010, the Company had one customer, Sinovel, which represented approximately 68% and 70% of total revenue, respectively.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and other North America.</w:t>
            </w:r>
          </w:p>
        </w:tc>
        <w:tc>
          <w:tcPr>
            <w:tcW w:w="6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$83,421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$86,971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5"/>
          </w:tcPr>
          <w:p>
            <w:pPr>
              <w:jc w:val="right"/>
              <w:ind w:right="200"/>
              <w:spacing w:after="0"/>
              <w:rPr>
                <w:sz w:val="20"/>
                <w:szCs w:val="20"/>
                <w:color w:val="auto"/>
              </w:rPr>
            </w:pPr>
            <w:r>
              <w:rPr>
                <w:rFonts w:ascii="Arial" w:cs="Arial" w:eastAsia="Arial" w:hAnsi="Arial"/>
                <w:sz w:val="18"/>
                <w:szCs w:val="18"/>
                <w:color w:val="auto"/>
              </w:rPr>
              <w:t>3,538</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5,895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Asia-Pacific</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5"/>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90,828</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17.  Quarterly Financial Data (Unaudited)</w:t>
            </w: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720" w:type="dxa"/>
            <w:vAlign w:val="bottom"/>
            <w:gridSpan w:val="3"/>
          </w:tcPr>
          <w:p>
            <w:pPr>
              <w:ind w:left="460"/>
              <w:spacing w:after="0"/>
              <w:rPr>
                <w:sz w:val="20"/>
                <w:szCs w:val="20"/>
                <w:color w:val="auto"/>
              </w:rPr>
            </w:pPr>
            <w:r>
              <w:rPr>
                <w:rFonts w:ascii="Arial" w:cs="Arial" w:eastAsia="Arial" w:hAnsi="Arial"/>
                <w:sz w:val="14"/>
                <w:szCs w:val="14"/>
                <w:b w:val="1"/>
                <w:bCs w:val="1"/>
                <w:color w:val="auto"/>
              </w:rPr>
              <w:t>(In thousands, except per share amount)</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For the Year Ended March 31, 2012:</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Three Months Ended</w:t>
            </w:r>
          </w:p>
        </w:tc>
        <w:tc>
          <w:tcPr>
            <w:tcW w:w="3960" w:type="dxa"/>
            <w:vAlign w:val="bottom"/>
            <w:vMerge w:val="restart"/>
          </w:tcPr>
          <w:p>
            <w:pPr>
              <w:spacing w:after="0"/>
              <w:rPr>
                <w:sz w:val="11"/>
                <w:szCs w:val="11"/>
                <w:color w:val="auto"/>
              </w:rPr>
            </w:pPr>
          </w:p>
        </w:tc>
        <w:tc>
          <w:tcPr>
            <w:tcW w:w="13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1"/>
                <w:szCs w:val="11"/>
                <w:color w:val="auto"/>
              </w:rPr>
            </w:pPr>
          </w:p>
        </w:tc>
        <w:tc>
          <w:tcPr>
            <w:tcW w:w="132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1140" w:type="dxa"/>
            <w:vAlign w:val="bottom"/>
            <w:gridSpan w:val="3"/>
          </w:tcPr>
          <w:p>
            <w:pPr>
              <w:jc w:val="right"/>
              <w:ind w:right="179"/>
              <w:spacing w:after="0" w:line="148"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112"/>
              <w:spacing w:after="0" w:line="148"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8"/>
              </w:rPr>
              <w:t>$  9,058</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20,800</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18,058</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$ 28,627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(38,327)</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(51,125)</w:t>
            </w:r>
          </w:p>
        </w:tc>
        <w:tc>
          <w:tcPr>
            <w:tcW w:w="1460" w:type="dxa"/>
            <w:vAlign w:val="bottom"/>
            <w:gridSpan w:val="4"/>
          </w:tcPr>
          <w:p>
            <w:pPr>
              <w:jc w:val="right"/>
              <w:ind w:right="192"/>
              <w:spacing w:after="0"/>
              <w:rPr>
                <w:sz w:val="20"/>
                <w:szCs w:val="20"/>
                <w:color w:val="auto"/>
              </w:rPr>
            </w:pPr>
            <w:r>
              <w:rPr>
                <w:rFonts w:ascii="Arial" w:cs="Arial" w:eastAsia="Arial" w:hAnsi="Arial"/>
                <w:sz w:val="18"/>
                <w:szCs w:val="18"/>
                <w:color w:val="auto"/>
              </w:rPr>
              <w:t>(26,569)</w:t>
            </w:r>
          </w:p>
        </w:tc>
        <w:tc>
          <w:tcPr>
            <w:tcW w:w="20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(20,418)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(37,679)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(51,709)</w:t>
            </w:r>
          </w:p>
        </w:tc>
        <w:tc>
          <w:tcPr>
            <w:tcW w:w="14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(26,271)</w:t>
            </w: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(loss) per common share — basic</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1460" w:type="dxa"/>
            <w:vAlign w:val="bottom"/>
            <w:gridSpan w:val="4"/>
          </w:tcPr>
          <w:p>
            <w:pPr>
              <w:jc w:val="right"/>
              <w:ind w:right="192"/>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 diluted</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46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fourth quarter of the year ended March 31, 2012, the Company recorded an expense of $4.9 million of patent costs previously capitalized in prior periods as intangible assets. The Company determined that the change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accounting had an immaterial impact to the year ended March 31, 2012 and has elected to expense these charges as incurred going forward.</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For the Year Ended March 31, 2011:</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Three Months Ended</w:t>
            </w:r>
          </w:p>
        </w:tc>
        <w:tc>
          <w:tcPr>
            <w:tcW w:w="4020" w:type="dxa"/>
            <w:vAlign w:val="bottom"/>
            <w:vMerge w:val="restart"/>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1"/>
                <w:szCs w:val="11"/>
                <w:color w:val="auto"/>
              </w:rPr>
            </w:pPr>
          </w:p>
        </w:tc>
        <w:tc>
          <w:tcPr>
            <w:tcW w:w="120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60" w:type="dxa"/>
            <w:vAlign w:val="bottom"/>
          </w:tcPr>
          <w:p>
            <w:pPr>
              <w:spacing w:after="0"/>
              <w:rPr>
                <w:sz w:val="11"/>
                <w:szCs w:val="11"/>
                <w:color w:val="auto"/>
              </w:rPr>
            </w:pPr>
          </w:p>
        </w:tc>
        <w:tc>
          <w:tcPr>
            <w:tcW w:w="11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1"/>
                <w:szCs w:val="11"/>
                <w:color w:val="auto"/>
              </w:rPr>
            </w:pPr>
          </w:p>
        </w:tc>
        <w:tc>
          <w:tcPr>
            <w:tcW w:w="7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58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rPr>
              <w:t>2010</w:t>
            </w:r>
          </w:p>
        </w:tc>
        <w:tc>
          <w:tcPr>
            <w:tcW w:w="1560" w:type="dxa"/>
            <w:vAlign w:val="bottom"/>
            <w:gridSpan w:val="2"/>
          </w:tcPr>
          <w:p>
            <w:pPr>
              <w:jc w:val="right"/>
              <w:ind w:right="206"/>
              <w:spacing w:after="0" w:line="148"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160" w:type="dxa"/>
            <w:vAlign w:val="bottom"/>
            <w:gridSpan w:val="2"/>
          </w:tcPr>
          <w:p>
            <w:pPr>
              <w:jc w:val="right"/>
              <w:ind w:right="182"/>
              <w:spacing w:after="0" w:line="148"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040" w:type="dxa"/>
            <w:vAlign w:val="bottom"/>
            <w:gridSpan w:val="2"/>
          </w:tcPr>
          <w:p>
            <w:pPr>
              <w:jc w:val="right"/>
              <w:ind w:right="16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$97,209</w:t>
            </w: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98,073</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31,570</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59,751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16,081</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color w:val="auto"/>
              </w:rPr>
              <w:t>13,080</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(22,960)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(184,184)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7,839</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(18,158)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(185,135)</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per common share — basic</w:t>
            </w: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color w:val="auto"/>
              </w:rPr>
              <w:t>0.17</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(0.38)</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 diluted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0.17</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the following material charges in its consolidated financial statements during the fourth quarter of the year ended March 31, 2011:</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Impact on loss before income tax expense for the quarterly period ended March 31, 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Increase in provision for excess and obsolete inventory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61,216</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Loss on purchase commitments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38,763</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Goodwill and long-lived asset impairment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49,955</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Write-off of prepaid value added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00" w:type="dxa"/>
            <w:vAlign w:val="bottom"/>
            <w:shd w:val="clear" w:color="auto" w:fill="CCEEFF"/>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Total impact on loss before income tax expenses for the quarterly period ended March 31, 2011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155,289</w:t>
            </w:r>
          </w:p>
        </w:tc>
        <w:tc>
          <w:tcPr>
            <w:tcW w:w="100" w:type="dxa"/>
            <w:vAlign w:val="bottom"/>
          </w:tcPr>
          <w:p>
            <w:pPr>
              <w:spacing w:after="0"/>
              <w:rPr>
                <w:sz w:val="19"/>
                <w:szCs w:val="19"/>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Private Placement of 7% Senior Convertible Notes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4, 2012, The Company entered into a Securities Purchase Agreement and completed a private placement of $25 million in 7% senior convertible notes (the “Notes”) with Capital Ventures International, an affiliate of Heights Capital Management. The Notes have a conversion price of $4.85 per share, representing a premium of approximately 20% over AMSC’s closing price on April 3, 2012. In addition, the buyers received warrants to purchase approximately 3.1 million additional shares of common stock exercisable at a strike price of $5.45 per share until October 4, 2017, subject to adjustment. The notes will amortize in monthly installments beginning four months from issuance and ending on October 4, 2014. Amortization payments are payable in cash or common stock at the option of the Company, subject to certain conditions.</w:t>
      </w:r>
    </w:p>
    <w:p>
      <w:pPr>
        <w:spacing w:after="0" w:line="3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subject to certain conditions contained in the definitive agreements, on October 4, 2012, the Company may issue an additional $15 million aggregate principal amount of convertible notes and warrants to the same investor.</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Term Loan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5, 2012, the Company entered into a Loan and Security Agreement with Hercules Technology Growth Capital, under which the Company borrowed $10 million. The loan bears a floating rate of interest of 11% plus the percentage, if any, the prime rate exceeds 3.75%. The Company will make interest only payments beginning July 1, 2012 and continuing through November 1, 2012, after which the Company will repay the loan in equal monthly installments ending on December 1, 2014. The loan is secured by substantially all of the Company’s existing and future assets. In addition, the lender received warrants to purchase approximately 139,000 shares of common stock, exercisable at a strike price of $3.59 per share until December 5, 2017.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Adverse Purchase Commitments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quarter ending June 30, 2012, the Company agreed to settle adverse purchase commitments with certain of its vendors. In conjunction with these settlements, the Company agreed to provide letters of credit and bank guarantees in the amount of approximately $9.0 million with expirations through January 31, 2013. The letters of credit and bank guarantees were secured with cash collateral of $8.5 million. As a result of these settlements, The Company will record a benefit of approximately $7.4 million in the quarter ending June 30, 2012.</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Recent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December 2010, the FASB issued Accounting Standards Update (ASU) No. 2010-29, </w:t>
      </w:r>
      <w:r>
        <w:rPr>
          <w:rFonts w:ascii="Arial" w:cs="Arial" w:eastAsia="Arial" w:hAnsi="Arial"/>
          <w:sz w:val="16"/>
          <w:szCs w:val="16"/>
          <w:i w:val="1"/>
          <w:iCs w:val="1"/>
          <w:color w:val="auto"/>
        </w:rPr>
        <w:t>Business Combinations (Topic 805), Disclosure of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Pro forma Information for Business Combinations a consensus of the FASB Emerging Issues Task Force (ASC 2010-29)</w:t>
      </w:r>
      <w:r>
        <w:rPr>
          <w:rFonts w:ascii="Arial" w:cs="Arial" w:eastAsia="Arial" w:hAnsi="Arial"/>
          <w:sz w:val="16"/>
          <w:szCs w:val="16"/>
          <w:color w:val="auto"/>
        </w:rPr>
        <w:t>. This amendment clarifies the periods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 forma financial information is presented. The disclosures include pro forma revenue and earnings of the combined entity for the current reporting period as though the acquisition date for all business combinations that occurred during the year had been as of the beginning of the annual reporting period.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ASU 2010-29 is effective prospectively for business combinations that occur on or after the beginning of the first annual reporting period beginning after December 15, 2010. The adoption of ASU 2010-29 did not have a material impact on the Company’s consolidated results of operations, financial condition, or cash flows.</w:t>
      </w:r>
    </w:p>
    <w:p>
      <w:pPr>
        <w:spacing w:after="0" w:line="3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The Company early adopted ASU 2011-05 and it did not have a material impact on the Company’s consolidated results of operations, financial condition, or cash flows.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The Company does not believe adoption of this standard will have an impact on its consolidated results of operations, financial condition, or cash flows.</w:t>
      </w:r>
    </w:p>
    <w:p>
      <w:pPr>
        <w:spacing w:after="0" w:line="3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The Company is currently evaluating the impact of adopting ASU 2011-11, but currently does not believe there will be a significant impact on its consolidated results of operations, financial condition, or cash flows.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does not believe that other recently issued accounting pronouncements will have a material impact on its financial statements.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March 31, 2012, our Chief Executive Officer and Chief Financial Officer concluded that, as of such date, our disclosure controls and procedures were effective at the reasonable assurance level.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1160" w:hanging="257"/>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113" w:lineRule="exact"/>
        <w:rPr>
          <w:rFonts w:ascii="Arial" w:cs="Arial" w:eastAsia="Arial" w:hAnsi="Arial"/>
          <w:sz w:val="16"/>
          <w:szCs w:val="16"/>
          <w:color w:val="auto"/>
        </w:rPr>
      </w:pPr>
    </w:p>
    <w:p>
      <w:pPr>
        <w:ind w:left="460" w:right="260" w:firstLine="443"/>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evaluation, management concluded that our internal control over financial reporting was effective as of March 31, 2012.</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March 31, 2012 has been audited by PricewaterhouseCoopers LLP, an independent registered public accounting firm, as stated in their report which is included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management previously identified material weaknesses in internal control over financial reporting related to revenues and accounts receivable balances as fees were not fixed or determinable or collectability was not reasonably assured at the time revenue was recognized, which is described in our Annual Report on Form 10-K for the year ended March 31, 2011.</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 following unremediated material weaknesses were as follows:</w:t>
      </w:r>
    </w:p>
    <w:p>
      <w:pPr>
        <w:spacing w:after="0" w:line="90" w:lineRule="exact"/>
        <w:rPr>
          <w:sz w:val="20"/>
          <w:szCs w:val="20"/>
          <w:color w:val="auto"/>
        </w:rPr>
      </w:pPr>
    </w:p>
    <w:p>
      <w:pPr>
        <w:ind w:left="660" w:right="220" w:hanging="206"/>
        <w:spacing w:after="0" w:line="33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did not maintain adequately designed controls to ensure accurate recognition of revenue in accordance with GAAP. Specifically, controls were not effective to ensure that deviations from contractually established payment terms were identified, communicated and authorized;</w:t>
      </w:r>
    </w:p>
    <w:p>
      <w:pPr>
        <w:spacing w:after="0" w:line="4" w:lineRule="exact"/>
        <w:rPr>
          <w:rFonts w:ascii="Arial" w:cs="Arial" w:eastAsia="Arial" w:hAnsi="Arial"/>
          <w:sz w:val="16"/>
          <w:szCs w:val="16"/>
          <w:color w:val="auto"/>
        </w:rPr>
      </w:pPr>
    </w:p>
    <w:p>
      <w:pPr>
        <w:ind w:left="660" w:right="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maintain adequate controls to ensure proper monitoring and evaluation of customer creditworthiness, including the collectability of amounts due from customers and appropriate revenue recognition;</w:t>
      </w:r>
    </w:p>
    <w:p>
      <w:pPr>
        <w:spacing w:after="0" w:line="5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maintain a sufficient complement of personnel involved with business in our foreign locations with the appropriate level of knowledge, experience and training in the application of GAAP to ensure revenue transactions were appropriately reflected in the financial statements based on the terms and conditions of the sales contracts; and</w:t>
      </w:r>
    </w:p>
    <w:p>
      <w:pPr>
        <w:spacing w:after="0" w:line="59" w:lineRule="exact"/>
        <w:rPr>
          <w:rFonts w:ascii="Arial" w:cs="Arial" w:eastAsia="Arial" w:hAnsi="Arial"/>
          <w:sz w:val="18"/>
          <w:szCs w:val="18"/>
          <w:color w:val="auto"/>
        </w:rPr>
      </w:pPr>
    </w:p>
    <w:p>
      <w:pPr>
        <w:ind w:left="660" w:right="640" w:hanging="206"/>
        <w:spacing w:after="0" w:line="33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did not establish and maintain procedures to ensure proper oversight and review, by senior management, of customer relationships to ensure appropriate communication of relevant considerations to determine accounting judgments with respect to revenue recognition.</w:t>
      </w:r>
    </w:p>
    <w:p>
      <w:pPr>
        <w:spacing w:after="0" w:line="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fourth quarter of the year ended March 31, 2012, we completed the remediation of these material weaknesses and these controls were demonstrated to have operated for a sufficient period of time. We completed the remediation in our internal controls over financial reporting by implementing the following improvements in our internal controls over financial reporting:</w:t>
      </w:r>
    </w:p>
    <w:p>
      <w:pPr>
        <w:spacing w:after="0" w:line="59"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established formal, written policies and procedures governing the customer credit process;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implemented improved procedures to ensure the proper review and documentation of customer creditworthiness;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established a new worldwide revenue manager position in finance with GAAP experience to ensure accuracy of revenue recognition;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implemented improved procedures to ensure the proper communication, approval and accounting review of deviations from sales contracts;</w:t>
      </w:r>
    </w:p>
    <w:p>
      <w:pPr>
        <w:spacing w:after="0" w:line="113"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provided training to product managers and others involved in negotiating contractual arrangements and accounting for revenue transactions, and plan to provide additional guidance in order to heighten awareness of revenue recognition concepts under GAAP; and</w:t>
      </w:r>
    </w:p>
    <w:p>
      <w:pPr>
        <w:spacing w:after="0" w:line="4" w:lineRule="exact"/>
        <w:rPr>
          <w:rFonts w:ascii="Arial" w:cs="Arial" w:eastAsia="Arial" w:hAnsi="Arial"/>
          <w:sz w:val="16"/>
          <w:szCs w:val="16"/>
          <w:color w:val="auto"/>
        </w:rPr>
      </w:pPr>
    </w:p>
    <w:p>
      <w:pPr>
        <w:ind w:left="660" w:right="34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implemented an improved internal communication process for senior management. During monthly operations reviews time is devoted to senior management review of pending operational and accounting issues for the current quarter.</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mentioned above, there were no other changes in our internal control over financial reporting during the quarter ended March 31, 2012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color w:val="auto"/>
        </w:rPr>
        <w:t>DIRECTORS,EXECUTIVE OFFICERS AND CORPORATE GOVERNANCE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response to this item is contained in part under the caption “Executive Officers” in Part I of this Annual Report on Form 10-K, and in part in our Proxy Statement for the Annual Meeting of Stockholders for the fiscal year ended March 31, 2012 (the “2012 Proxy Statement”) in the sections “Corporate Governance — Members of the Board,” “Other Matters — Section 16(a) Beneficial Ownership Reporting Compliance,” “Corporate Governance — Code of Business Conduct and Ethics,” “Corporate Governance — Board Committees” and “Corporate Governance — Board Committees — Audit Committee,” “Corporate Governance — Director Nomination Process”, “Corporate Governance — Board Determination of Independence”, which sections are incorporated herein by reference.</w:t>
      </w:r>
    </w:p>
    <w:p>
      <w:pPr>
        <w:spacing w:after="0" w:line="1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EXECUTIVECOMPENSATION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sections of the 2012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color w:val="auto"/>
        </w:rPr>
        <w:t>SECURITYOWNERSHIP OF CERTAIN BENEFICIAL OWNERS AND MANAGEMENT AND RELATED STOCKHOLDER MATTERS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sections of the 2012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1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color w:val="auto"/>
        </w:rPr>
        <w:t>CERTAINRELATIONSHIPS AND RELATED TRANSACTIONS, AND DIRECTOR INDEPENDENCE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sections of the 2012 Proxy Statement titled “Certain Relationships and Related Transactions” and “Corporate Governance — Board Determination of Independence” and “Corporate Governance — Board Committees” are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i w:val="1"/>
          <w:iCs w:val="1"/>
          <w:color w:val="auto"/>
        </w:rPr>
        <w:t>PRINCIPALACCOUNTING FEES AND SERVICES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section of the 2012 Proxy Statement titled “Ratification of Selection of Registered Independent Public Accounting Firm (Proposal 2)”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i w:val="1"/>
          <w:iCs w:val="1"/>
          <w:color w:val="auto"/>
        </w:rPr>
        <w:t>EXHIBITSAND FINANCIAL STATEMENT SCHEDULES</w:t>
      </w:r>
    </w:p>
    <w:p>
      <w:pPr>
        <w:spacing w:after="0" w:line="96" w:lineRule="exact"/>
        <w:rPr>
          <w:sz w:val="20"/>
          <w:szCs w:val="20"/>
          <w:color w:val="auto"/>
        </w:rPr>
      </w:pPr>
    </w:p>
    <w:p>
      <w:pPr>
        <w:ind w:left="460" w:right="5980" w:firstLine="4"/>
        <w:spacing w:after="0" w:line="344" w:lineRule="auto"/>
        <w:tabs>
          <w:tab w:leader="none" w:pos="6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 filed as part of this Annual Report on Form 10-K: 1. Financial Statements</w:t>
      </w:r>
    </w:p>
    <w:p>
      <w:pPr>
        <w:spacing w:after="0" w:line="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0" w:type="dxa"/>
            <w:vAlign w:val="bottom"/>
            <w:gridSpan w:val="8"/>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3"/>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Consolidated Balance Sheets at March 31, 2012 and 2011</w:t>
              </w:r>
            </w:hyperlink>
          </w:p>
        </w:tc>
        <w:tc>
          <w:tcPr>
            <w:tcW w:w="4900" w:type="dxa"/>
            <w:vAlign w:val="bottom"/>
            <w:tcBorders>
              <w:top w:val="single" w:sz="8" w:color="CCEEFF"/>
            </w:tcBorders>
            <w:gridSpan w:val="5"/>
          </w:tcPr>
          <w:p>
            <w:pPr>
              <w:spacing w:after="0"/>
              <w:rPr>
                <w:sz w:val="15"/>
                <w:szCs w:val="15"/>
                <w:color w:val="auto"/>
              </w:rPr>
            </w:pPr>
          </w:p>
        </w:tc>
        <w:tc>
          <w:tcPr>
            <w:tcW w:w="148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0" w:type="dxa"/>
            <w:vAlign w:val="bottom"/>
            <w:gridSpan w:val="8"/>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years ended March 31, 2012, 2011 and 2010</w:t>
              </w:r>
            </w:hyperlink>
          </w:p>
        </w:tc>
        <w:tc>
          <w:tcPr>
            <w:tcW w:w="14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0" w:type="dxa"/>
            <w:vAlign w:val="bottom"/>
            <w:gridSpan w:val="8"/>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(Loss) Income for the years ended March 31, 2012, 2011 and 2010</w:t>
              </w:r>
            </w:hyperlink>
          </w:p>
        </w:tc>
        <w:tc>
          <w:tcPr>
            <w:tcW w:w="14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6"/>
              </w:rPr>
            </w:pPr>
            <w:hyperlink w:anchor="page59">
              <w:r>
                <w:rPr>
                  <w:rFonts w:ascii="Arial" w:cs="Arial" w:eastAsia="Arial" w:hAnsi="Arial"/>
                  <w:sz w:val="18"/>
                  <w:szCs w:val="18"/>
                  <w:color w:val="0000EE"/>
                  <w:w w:val="86"/>
                </w:rPr>
                <w:t>Consolidated Statements of Cash Flows for the years ended March 31, 2012, 2011 and 2010</w:t>
              </w:r>
            </w:hyperlink>
          </w:p>
        </w:tc>
        <w:tc>
          <w:tcPr>
            <w:tcW w:w="2540" w:type="dxa"/>
            <w:vAlign w:val="bottom"/>
            <w:tcBorders>
              <w:bottom w:val="single" w:sz="8" w:color="CCEEFF"/>
            </w:tcBorders>
            <w:gridSpan w:val="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0" w:type="dxa"/>
            <w:vAlign w:val="bottom"/>
            <w:gridSpan w:val="8"/>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Stockholders’ Equity for the years ended March 31, 2012, 2011 and 2010</w:t>
              </w:r>
            </w:hyperlink>
          </w:p>
        </w:tc>
        <w:tc>
          <w:tcPr>
            <w:tcW w:w="14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0" w:type="dxa"/>
            <w:vAlign w:val="bottom"/>
            <w:gridSpan w:val="8"/>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Notes to the Consolidated Financial Statements</w:t>
              </w:r>
            </w:hyperlink>
          </w:p>
        </w:tc>
        <w:tc>
          <w:tcPr>
            <w:tcW w:w="14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See “Schedule II — Valuation and Qualifying Accounts” for the fiscal years ended March 31, 2012, 2011, and 2010. All other schedules are omitted because they are not applicable, not required or the required information is shown in the consolidated financial statements or notes thereto.</w:t>
      </w:r>
    </w:p>
    <w:p>
      <w:pPr>
        <w:spacing w:after="0" w:line="4" w:lineRule="exact"/>
        <w:rPr>
          <w:sz w:val="20"/>
          <w:szCs w:val="20"/>
          <w:color w:val="auto"/>
        </w:rPr>
      </w:pPr>
    </w:p>
    <w:p>
      <w:pPr>
        <w:ind w:left="460" w:right="5040" w:firstLine="4"/>
        <w:spacing w:after="0" w:line="344"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 Required by Item 601 of Regulation S-K under the Exchange Act. See (b) Exhibits.</w:t>
      </w:r>
    </w:p>
    <w:p>
      <w:pPr>
        <w:ind w:left="460"/>
        <w:spacing w:after="0"/>
        <w:rPr>
          <w:rFonts w:ascii="Arial" w:cs="Arial" w:eastAsia="Arial" w:hAnsi="Arial"/>
          <w:sz w:val="18"/>
          <w:szCs w:val="18"/>
          <w:color w:val="auto"/>
        </w:rPr>
      </w:pPr>
      <w:r>
        <w:rPr>
          <w:rFonts w:ascii="Arial" w:cs="Arial" w:eastAsia="Arial" w:hAnsi="Arial"/>
          <w:sz w:val="18"/>
          <w:szCs w:val="18"/>
          <w:color w:val="auto"/>
        </w:rPr>
        <w:t>(b) Exhibits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preceding such Exhibits, and is incorporated herein by reference.</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240" w:top="459" w:right="6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6"/>
              </w:rPr>
              <w:t>Balance,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4"/>
              </w:rPr>
              <w:t>Recoveries and</w:t>
            </w:r>
          </w:p>
        </w:tc>
        <w:tc>
          <w:tcPr>
            <w:tcW w:w="16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Balance,</w:t>
            </w:r>
          </w:p>
        </w:tc>
      </w:tr>
      <w:tr>
        <w:trPr>
          <w:trHeight w:val="149"/>
        </w:trPr>
        <w:tc>
          <w:tcPr>
            <w:tcW w:w="4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gridSpan w:val="5"/>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w w:val="90"/>
              </w:rPr>
              <w:t>Write-</w:t>
            </w:r>
          </w:p>
        </w:tc>
        <w:tc>
          <w:tcPr>
            <w:tcW w:w="180" w:type="dxa"/>
            <w:vAlign w:val="bottom"/>
          </w:tcPr>
          <w:p>
            <w:pPr>
              <w:spacing w:after="0"/>
              <w:rPr>
                <w:sz w:val="12"/>
                <w:szCs w:val="12"/>
                <w:color w:val="auto"/>
              </w:rPr>
            </w:pPr>
          </w:p>
        </w:tc>
        <w:tc>
          <w:tcPr>
            <w:tcW w:w="12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4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5"/>
              </w:rPr>
              <w:t>Year</w:t>
            </w:r>
          </w:p>
        </w:tc>
        <w:tc>
          <w:tcPr>
            <w:tcW w:w="13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83"/>
              </w:rPr>
              <w:t>Additions</w:t>
            </w:r>
          </w:p>
        </w:tc>
        <w:tc>
          <w:tcPr>
            <w:tcW w:w="1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Offs</w:t>
            </w:r>
          </w:p>
        </w:tc>
        <w:tc>
          <w:tcPr>
            <w:tcW w:w="14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Fiscal year ended March 31, 2012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79"/>
              </w:rPr>
              <w:t>683</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(631)</w:t>
            </w:r>
          </w:p>
        </w:tc>
        <w:tc>
          <w:tcPr>
            <w:tcW w:w="340" w:type="dxa"/>
            <w:vAlign w:val="bottom"/>
          </w:tcPr>
          <w:p>
            <w:pPr>
              <w:spacing w:after="0"/>
              <w:rPr>
                <w:sz w:val="18"/>
                <w:szCs w:val="18"/>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52</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31, 2011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766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(118)</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Fiscal year ended March 31, 2010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286</w:t>
            </w:r>
          </w:p>
        </w:tc>
        <w:tc>
          <w:tcPr>
            <w:tcW w:w="540" w:type="dxa"/>
            <w:vAlign w:val="bottom"/>
          </w:tcPr>
          <w:p>
            <w:pPr>
              <w:spacing w:after="0"/>
              <w:rPr>
                <w:sz w:val="19"/>
                <w:szCs w:val="19"/>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rPr>
              <w:t>(809)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r>
      <w:tr>
        <w:trPr>
          <w:trHeight w:val="332"/>
        </w:trPr>
        <w:tc>
          <w:tcPr>
            <w:tcW w:w="4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Balance,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Balance,</w:t>
            </w:r>
          </w:p>
        </w:tc>
      </w:tr>
      <w:tr>
        <w:trPr>
          <w:trHeight w:val="149"/>
        </w:trPr>
        <w:tc>
          <w:tcPr>
            <w:tcW w:w="4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4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3"/>
              </w:rPr>
              <w:t>Additions</w:t>
            </w:r>
          </w:p>
        </w:tc>
        <w:tc>
          <w:tcPr>
            <w:tcW w:w="8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6"/>
              </w:rPr>
              <w:t>Expirations</w:t>
            </w:r>
          </w:p>
        </w:tc>
        <w:tc>
          <w:tcPr>
            <w:tcW w:w="180" w:type="dxa"/>
            <w:vAlign w:val="bottom"/>
          </w:tcPr>
          <w:p>
            <w:pPr>
              <w:spacing w:after="0"/>
              <w:rPr>
                <w:sz w:val="14"/>
                <w:szCs w:val="1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4"/>
              </w:rPr>
              <w:t>Adjustments</w:t>
            </w:r>
          </w:p>
        </w:tc>
        <w:tc>
          <w:tcPr>
            <w:tcW w:w="16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Year</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 valuation allowance:</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Fiscal year ended March 31, 2012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w w:val="89"/>
              </w:rPr>
              <w:t>$ 220,596</w:t>
            </w:r>
          </w:p>
        </w:tc>
        <w:tc>
          <w:tcPr>
            <w:tcW w:w="340" w:type="dxa"/>
            <w:vAlign w:val="bottom"/>
          </w:tcPr>
          <w:p>
            <w:pPr>
              <w:spacing w:after="0"/>
              <w:rPr>
                <w:sz w:val="18"/>
                <w:szCs w:val="18"/>
                <w:color w:val="auto"/>
              </w:rPr>
            </w:pPr>
          </w:p>
        </w:tc>
        <w:tc>
          <w:tcPr>
            <w:tcW w:w="1380" w:type="dxa"/>
            <w:vAlign w:val="bottom"/>
            <w:gridSpan w:val="4"/>
          </w:tcPr>
          <w:p>
            <w:pPr>
              <w:jc w:val="right"/>
              <w:ind w:right="540"/>
              <w:spacing w:after="0"/>
              <w:rPr>
                <w:sz w:val="20"/>
                <w:szCs w:val="20"/>
                <w:color w:val="auto"/>
              </w:rPr>
            </w:pPr>
            <w:r>
              <w:rPr>
                <w:rFonts w:ascii="Arial" w:cs="Arial" w:eastAsia="Arial" w:hAnsi="Arial"/>
                <w:sz w:val="18"/>
                <w:szCs w:val="18"/>
                <w:color w:val="auto"/>
              </w:rPr>
              <w:t>41,709</w:t>
            </w: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(10,003)</w:t>
            </w:r>
          </w:p>
        </w:tc>
        <w:tc>
          <w:tcPr>
            <w:tcW w:w="18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$252,302</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31, 2011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187,358</w:t>
            </w:r>
          </w:p>
        </w:tc>
        <w:tc>
          <w:tcPr>
            <w:tcW w:w="3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43,308</w:t>
            </w: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(10,063)</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220,596</w:t>
            </w:r>
          </w:p>
        </w:tc>
        <w:tc>
          <w:tcPr>
            <w:tcW w:w="100" w:type="dxa"/>
            <w:vAlign w:val="bottom"/>
            <w:shd w:val="clear" w:color="auto" w:fill="CCEEFF"/>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Fiscal year ended March 31, 2010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174,695</w:t>
            </w:r>
          </w:p>
        </w:tc>
        <w:tc>
          <w:tcPr>
            <w:tcW w:w="340" w:type="dxa"/>
            <w:vAlign w:val="bottom"/>
          </w:tcPr>
          <w:p>
            <w:pPr>
              <w:spacing w:after="0"/>
              <w:rPr>
                <w:sz w:val="19"/>
                <w:szCs w:val="19"/>
                <w:color w:val="auto"/>
              </w:rPr>
            </w:pPr>
          </w:p>
        </w:tc>
        <w:tc>
          <w:tcPr>
            <w:tcW w:w="1380" w:type="dxa"/>
            <w:vAlign w:val="bottom"/>
            <w:gridSpan w:val="4"/>
          </w:tcPr>
          <w:p>
            <w:pPr>
              <w:jc w:val="right"/>
              <w:ind w:right="540"/>
              <w:spacing w:after="0"/>
              <w:rPr>
                <w:sz w:val="20"/>
                <w:szCs w:val="20"/>
                <w:color w:val="auto"/>
              </w:rPr>
            </w:pPr>
            <w:r>
              <w:rPr>
                <w:rFonts w:ascii="Arial" w:cs="Arial" w:eastAsia="Arial" w:hAnsi="Arial"/>
                <w:sz w:val="18"/>
                <w:szCs w:val="18"/>
                <w:color w:val="auto"/>
              </w:rPr>
              <w:t>16,189</w:t>
            </w: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(4,148)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622</w:t>
            </w:r>
          </w:p>
        </w:tc>
        <w:tc>
          <w:tcPr>
            <w:tcW w:w="5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187,358</w:t>
            </w:r>
          </w:p>
        </w:tc>
        <w:tc>
          <w:tcPr>
            <w:tcW w:w="100" w:type="dxa"/>
            <w:vAlign w:val="bottom"/>
          </w:tcPr>
          <w:p>
            <w:pPr>
              <w:spacing w:after="0"/>
              <w:rPr>
                <w:sz w:val="19"/>
                <w:szCs w:val="19"/>
                <w:color w:val="auto"/>
              </w:rPr>
            </w:pPr>
          </w:p>
        </w:tc>
      </w:tr>
      <w:tr>
        <w:trPr>
          <w:trHeight w:val="356"/>
        </w:trPr>
        <w:tc>
          <w:tcPr>
            <w:tcW w:w="4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8360" w:val="left"/>
          <w:tab w:leader="none" w:pos="8720" w:val="left"/>
        </w:tabs>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ANIEL</w:t>
      </w:r>
      <w:r>
        <w:rPr>
          <w:rFonts w:ascii="Arial" w:cs="Arial" w:eastAsia="Arial" w:hAnsi="Arial"/>
          <w:sz w:val="16"/>
          <w:szCs w:val="16"/>
          <w:color w:val="auto"/>
        </w:rPr>
        <w:t xml:space="preserve"> P. M</w:t>
      </w:r>
      <w:r>
        <w:rPr>
          <w:rFonts w:ascii="Arial" w:cs="Arial" w:eastAsia="Arial" w:hAnsi="Arial"/>
          <w:sz w:val="13"/>
          <w:szCs w:val="13"/>
          <w:color w:val="auto"/>
        </w:rPr>
        <w:t>C</w:t>
      </w:r>
      <w:r>
        <w:rPr>
          <w:rFonts w:ascii="Arial" w:cs="Arial" w:eastAsia="Arial" w:hAnsi="Arial"/>
          <w:sz w:val="16"/>
          <w:szCs w:val="16"/>
          <w:color w:val="auto"/>
        </w:rPr>
        <w:t>G</w:t>
      </w:r>
      <w:r>
        <w:rPr>
          <w:rFonts w:ascii="Arial" w:cs="Arial" w:eastAsia="Arial" w:hAnsi="Arial"/>
          <w:sz w:val="13"/>
          <w:szCs w:val="13"/>
          <w:color w:val="auto"/>
        </w:rPr>
        <w:t>AHN</w:t>
      </w:r>
    </w:p>
    <w:p>
      <w:pPr>
        <w:spacing w:after="0" w:line="1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6,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1880" w:type="dxa"/>
            <w:vAlign w:val="bottom"/>
          </w:tcPr>
          <w:p>
            <w:pPr>
              <w:spacing w:after="0"/>
              <w:rPr>
                <w:sz w:val="14"/>
                <w:szCs w:val="14"/>
                <w:color w:val="auto"/>
              </w:rPr>
            </w:pPr>
          </w:p>
        </w:tc>
        <w:tc>
          <w:tcPr>
            <w:tcW w:w="510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0"/>
              </w:rPr>
              <w:t>Title</w:t>
            </w:r>
          </w:p>
        </w:tc>
        <w:tc>
          <w:tcPr>
            <w:tcW w:w="120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4"/>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ANIEL</w:t>
            </w:r>
            <w:r>
              <w:rPr>
                <w:rFonts w:ascii="Arial" w:cs="Arial" w:eastAsia="Arial" w:hAnsi="Arial"/>
                <w:sz w:val="18"/>
                <w:szCs w:val="18"/>
                <w:color w:val="auto"/>
                <w:w w:val="99"/>
              </w:rPr>
              <w:t xml:space="preserve"> P. M</w:t>
            </w:r>
            <w:r>
              <w:rPr>
                <w:rFonts w:ascii="Arial" w:cs="Arial" w:eastAsia="Arial" w:hAnsi="Arial"/>
                <w:sz w:val="14"/>
                <w:szCs w:val="14"/>
                <w:color w:val="auto"/>
                <w:w w:val="99"/>
              </w:rPr>
              <w:t>C</w:t>
            </w:r>
            <w:r>
              <w:rPr>
                <w:rFonts w:ascii="Arial" w:cs="Arial" w:eastAsia="Arial" w:hAnsi="Arial"/>
                <w:sz w:val="18"/>
                <w:szCs w:val="18"/>
                <w:color w:val="auto"/>
                <w:w w:val="99"/>
              </w:rPr>
              <w:t>G</w:t>
            </w:r>
            <w:r>
              <w:rPr>
                <w:rFonts w:ascii="Arial" w:cs="Arial" w:eastAsia="Arial" w:hAnsi="Arial"/>
                <w:sz w:val="14"/>
                <w:szCs w:val="14"/>
                <w:color w:val="auto"/>
                <w:w w:val="99"/>
              </w:rPr>
              <w:t>AHN</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88"/>
              </w:rPr>
              <w:t>President, Chief Executive Officer, and</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4"/>
        </w:trPr>
        <w:tc>
          <w:tcPr>
            <w:tcW w:w="1340" w:type="dxa"/>
            <w:vAlign w:val="bottom"/>
          </w:tcPr>
          <w:p>
            <w:pPr>
              <w:spacing w:after="0"/>
              <w:rPr>
                <w:sz w:val="19"/>
                <w:szCs w:val="19"/>
                <w:color w:val="auto"/>
              </w:rPr>
            </w:pP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90"/>
              </w:rPr>
              <w:t>Daniel P. McGahn</w:t>
            </w:r>
          </w:p>
        </w:tc>
        <w:tc>
          <w:tcPr>
            <w:tcW w:w="5100" w:type="dxa"/>
            <w:vAlign w:val="bottom"/>
            <w:gridSpan w:val="3"/>
          </w:tcPr>
          <w:p>
            <w:pPr>
              <w:jc w:val="center"/>
              <w:ind w:left="434"/>
              <w:spacing w:after="0" w:line="202" w:lineRule="exact"/>
              <w:rPr>
                <w:sz w:val="20"/>
                <w:szCs w:val="20"/>
                <w:color w:val="auto"/>
              </w:rPr>
            </w:pPr>
            <w:r>
              <w:rPr>
                <w:rFonts w:ascii="Arial" w:cs="Arial" w:eastAsia="Arial" w:hAnsi="Arial"/>
                <w:sz w:val="18"/>
                <w:szCs w:val="18"/>
                <w:color w:val="auto"/>
                <w:w w:val="91"/>
              </w:rPr>
              <w:t>Director (Principal Executive Officer)</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150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w w:val="99"/>
              </w:rPr>
              <w:t>/S/</w:t>
            </w:r>
          </w:p>
        </w:tc>
        <w:tc>
          <w:tcPr>
            <w:tcW w:w="262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H</w:t>
            </w:r>
            <w:r>
              <w:rPr>
                <w:rFonts w:ascii="Arial" w:cs="Arial" w:eastAsia="Arial" w:hAnsi="Arial"/>
                <w:sz w:val="14"/>
                <w:szCs w:val="14"/>
                <w:color w:val="auto"/>
              </w:rPr>
              <w:t>ENRY</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88"/>
              </w:rPr>
              <w:t>Senior Vice President and Chief</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190"/>
        </w:trPr>
        <w:tc>
          <w:tcPr>
            <w:tcW w:w="1340" w:type="dxa"/>
            <w:vAlign w:val="bottom"/>
          </w:tcPr>
          <w:p>
            <w:pPr>
              <w:spacing w:after="0"/>
              <w:rPr>
                <w:sz w:val="16"/>
                <w:szCs w:val="16"/>
                <w:color w:val="auto"/>
              </w:rPr>
            </w:pPr>
          </w:p>
        </w:tc>
        <w:tc>
          <w:tcPr>
            <w:tcW w:w="2780" w:type="dxa"/>
            <w:vAlign w:val="bottom"/>
            <w:gridSpan w:val="4"/>
          </w:tcPr>
          <w:p>
            <w:pPr>
              <w:jc w:val="center"/>
              <w:ind w:right="1320"/>
              <w:spacing w:after="0" w:line="190" w:lineRule="exact"/>
              <w:rPr>
                <w:sz w:val="20"/>
                <w:szCs w:val="20"/>
                <w:color w:val="auto"/>
              </w:rPr>
            </w:pPr>
            <w:r>
              <w:rPr>
                <w:rFonts w:ascii="Arial" w:cs="Arial" w:eastAsia="Arial" w:hAnsi="Arial"/>
                <w:sz w:val="18"/>
                <w:szCs w:val="18"/>
                <w:b w:val="1"/>
                <w:bCs w:val="1"/>
                <w:color w:val="auto"/>
                <w:w w:val="92"/>
              </w:rPr>
              <w:t>David A. Henry</w:t>
            </w:r>
          </w:p>
        </w:tc>
        <w:tc>
          <w:tcPr>
            <w:tcW w:w="5100" w:type="dxa"/>
            <w:vAlign w:val="bottom"/>
            <w:gridSpan w:val="3"/>
          </w:tcPr>
          <w:p>
            <w:pPr>
              <w:jc w:val="center"/>
              <w:ind w:left="434"/>
              <w:spacing w:after="0" w:line="190" w:lineRule="exact"/>
              <w:rPr>
                <w:sz w:val="20"/>
                <w:szCs w:val="20"/>
                <w:color w:val="auto"/>
              </w:rPr>
            </w:pPr>
            <w:r>
              <w:rPr>
                <w:rFonts w:ascii="Arial" w:cs="Arial" w:eastAsia="Arial" w:hAnsi="Arial"/>
                <w:sz w:val="18"/>
                <w:szCs w:val="18"/>
                <w:color w:val="auto"/>
                <w:w w:val="91"/>
              </w:rPr>
              <w:t>Financial Officer (Principal Financial</w:t>
            </w: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2"/>
              </w:rPr>
              <w:t>and Accounting Officer)</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7"/>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w w:val="92"/>
              </w:rPr>
              <w:t>J</w:t>
            </w:r>
            <w:r>
              <w:rPr>
                <w:rFonts w:ascii="Arial" w:cs="Arial" w:eastAsia="Arial" w:hAnsi="Arial"/>
                <w:sz w:val="14"/>
                <w:szCs w:val="14"/>
                <w:color w:val="auto"/>
                <w:w w:val="92"/>
              </w:rPr>
              <w:t>OHN</w:t>
            </w:r>
            <w:r>
              <w:rPr>
                <w:rFonts w:ascii="Arial" w:cs="Arial" w:eastAsia="Arial" w:hAnsi="Arial"/>
                <w:sz w:val="18"/>
                <w:szCs w:val="18"/>
                <w:color w:val="auto"/>
                <w:w w:val="92"/>
              </w:rPr>
              <w:t xml:space="preserve"> W. W</w:t>
            </w:r>
            <w:r>
              <w:rPr>
                <w:rFonts w:ascii="Arial" w:cs="Arial" w:eastAsia="Arial" w:hAnsi="Arial"/>
                <w:sz w:val="14"/>
                <w:szCs w:val="14"/>
                <w:color w:val="auto"/>
                <w:w w:val="92"/>
              </w:rPr>
              <w:t>OOD</w:t>
            </w:r>
            <w:r>
              <w:rPr>
                <w:rFonts w:ascii="Arial" w:cs="Arial" w:eastAsia="Arial" w:hAnsi="Arial"/>
                <w:sz w:val="18"/>
                <w:szCs w:val="18"/>
                <w:color w:val="auto"/>
                <w:w w:val="92"/>
              </w:rPr>
              <w:t>, J</w:t>
            </w:r>
            <w:r>
              <w:rPr>
                <w:rFonts w:ascii="Arial" w:cs="Arial" w:eastAsia="Arial" w:hAnsi="Arial"/>
                <w:sz w:val="14"/>
                <w:szCs w:val="14"/>
                <w:color w:val="auto"/>
                <w:w w:val="92"/>
              </w:rPr>
              <w:t>R</w:t>
            </w:r>
            <w:r>
              <w:rPr>
                <w:rFonts w:ascii="Arial" w:cs="Arial" w:eastAsia="Arial" w:hAnsi="Arial"/>
                <w:sz w:val="18"/>
                <w:szCs w:val="18"/>
                <w:color w:val="auto"/>
                <w:w w:val="92"/>
              </w:rPr>
              <w:t>.</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89"/>
              </w:rPr>
              <w:t>Chairman of the Board</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1340" w:type="dxa"/>
            <w:vAlign w:val="bottom"/>
          </w:tcPr>
          <w:p>
            <w:pPr>
              <w:spacing w:after="0"/>
              <w:rPr>
                <w:sz w:val="19"/>
                <w:szCs w:val="19"/>
                <w:color w:val="auto"/>
              </w:rPr>
            </w:pP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87"/>
              </w:rPr>
              <w:t>John W. Wood, Jr.</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4"/>
          </w:tcPr>
          <w:p>
            <w:pPr>
              <w:jc w:val="center"/>
              <w:ind w:right="9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S. B</w:t>
            </w:r>
            <w:r>
              <w:rPr>
                <w:rFonts w:ascii="Arial" w:cs="Arial" w:eastAsia="Arial" w:hAnsi="Arial"/>
                <w:sz w:val="14"/>
                <w:szCs w:val="14"/>
                <w:color w:val="auto"/>
              </w:rPr>
              <w:t>UDHRAJA</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4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Vikram S. Budhraja</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1500" w:type="dxa"/>
            <w:vAlign w:val="bottom"/>
            <w:tcBorders>
              <w:bottom w:val="single" w:sz="8" w:color="auto"/>
            </w:tcBorders>
            <w:gridSpan w:val="2"/>
          </w:tcPr>
          <w:p>
            <w:pPr>
              <w:ind w:left="13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2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1"/>
              </w:rPr>
              <w:t>P</w:t>
            </w:r>
            <w:r>
              <w:rPr>
                <w:rFonts w:ascii="Arial" w:cs="Arial" w:eastAsia="Arial" w:hAnsi="Arial"/>
                <w:sz w:val="14"/>
                <w:szCs w:val="14"/>
                <w:color w:val="auto"/>
                <w:w w:val="91"/>
              </w:rPr>
              <w:t>ETER</w:t>
            </w:r>
            <w:r>
              <w:rPr>
                <w:rFonts w:ascii="Arial" w:cs="Arial" w:eastAsia="Arial" w:hAnsi="Arial"/>
                <w:sz w:val="18"/>
                <w:szCs w:val="18"/>
                <w:color w:val="auto"/>
                <w:w w:val="91"/>
              </w:rPr>
              <w:t xml:space="preserve"> O. C</w:t>
            </w:r>
            <w:r>
              <w:rPr>
                <w:rFonts w:ascii="Arial" w:cs="Arial" w:eastAsia="Arial" w:hAnsi="Arial"/>
                <w:sz w:val="14"/>
                <w:szCs w:val="14"/>
                <w:color w:val="auto"/>
                <w:w w:val="91"/>
              </w:rPr>
              <w:t>RISP</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3"/>
          </w:tcPr>
          <w:p>
            <w:pPr>
              <w:jc w:val="center"/>
              <w:ind w:right="1480"/>
              <w:spacing w:after="0"/>
              <w:rPr>
                <w:sz w:val="20"/>
                <w:szCs w:val="20"/>
                <w:color w:val="auto"/>
              </w:rPr>
            </w:pPr>
            <w:r>
              <w:rPr>
                <w:rFonts w:ascii="Arial" w:cs="Arial" w:eastAsia="Arial" w:hAnsi="Arial"/>
                <w:sz w:val="18"/>
                <w:szCs w:val="18"/>
                <w:b w:val="1"/>
                <w:bCs w:val="1"/>
                <w:color w:val="auto"/>
                <w:w w:val="91"/>
              </w:rPr>
              <w:t>Peter O. Crisp</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4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/S/ R</w:t>
            </w:r>
            <w:r>
              <w:rPr>
                <w:rFonts w:ascii="Arial" w:cs="Arial" w:eastAsia="Arial" w:hAnsi="Arial"/>
                <w:sz w:val="14"/>
                <w:szCs w:val="14"/>
                <w:color w:val="auto"/>
                <w:w w:val="98"/>
              </w:rPr>
              <w:t>ICHARD</w:t>
            </w:r>
            <w:r>
              <w:rPr>
                <w:rFonts w:ascii="Arial" w:cs="Arial" w:eastAsia="Arial" w:hAnsi="Arial"/>
                <w:sz w:val="18"/>
                <w:szCs w:val="18"/>
                <w:color w:val="auto"/>
                <w:w w:val="98"/>
              </w:rPr>
              <w:t xml:space="preserve"> D</w:t>
            </w:r>
            <w:r>
              <w:rPr>
                <w:rFonts w:ascii="Arial" w:cs="Arial" w:eastAsia="Arial" w:hAnsi="Arial"/>
                <w:sz w:val="14"/>
                <w:szCs w:val="14"/>
                <w:color w:val="auto"/>
                <w:w w:val="98"/>
              </w:rPr>
              <w:t>ROUIN</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1340" w:type="dxa"/>
            <w:vAlign w:val="bottom"/>
          </w:tcPr>
          <w:p>
            <w:pPr>
              <w:spacing w:after="0"/>
              <w:rPr>
                <w:sz w:val="19"/>
                <w:szCs w:val="19"/>
                <w:color w:val="auto"/>
              </w:rPr>
            </w:pP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90"/>
              </w:rPr>
              <w:t>Richard Drouin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4"/>
          </w:tcPr>
          <w:p>
            <w:pPr>
              <w:jc w:val="center"/>
              <w:ind w:right="96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AMELA</w:t>
            </w:r>
            <w:r>
              <w:rPr>
                <w:rFonts w:ascii="Arial" w:cs="Arial" w:eastAsia="Arial" w:hAnsi="Arial"/>
                <w:sz w:val="18"/>
                <w:szCs w:val="18"/>
                <w:color w:val="auto"/>
                <w:w w:val="99"/>
              </w:rPr>
              <w:t xml:space="preserve"> F. L</w:t>
            </w:r>
            <w:r>
              <w:rPr>
                <w:rFonts w:ascii="Arial" w:cs="Arial" w:eastAsia="Arial" w:hAnsi="Arial"/>
                <w:sz w:val="14"/>
                <w:szCs w:val="14"/>
                <w:color w:val="auto"/>
                <w:w w:val="99"/>
              </w:rPr>
              <w:t>ENEHAN</w:t>
            </w:r>
            <w:r>
              <w:rPr>
                <w:rFonts w:ascii="Arial" w:cs="Arial" w:eastAsia="Arial" w:hAnsi="Arial"/>
                <w:sz w:val="18"/>
                <w:szCs w:val="18"/>
                <w:color w:val="auto"/>
                <w:w w:val="99"/>
              </w:rPr>
              <w:t>.</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1340" w:type="dxa"/>
            <w:vAlign w:val="bottom"/>
          </w:tcPr>
          <w:p>
            <w:pPr>
              <w:spacing w:after="0"/>
              <w:rPr>
                <w:sz w:val="19"/>
                <w:szCs w:val="19"/>
                <w:color w:val="auto"/>
              </w:rPr>
            </w:pP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87"/>
              </w:rPr>
              <w:t>Pamela F. Lenehan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4"/>
          </w:tcPr>
          <w:p>
            <w:pPr>
              <w:jc w:val="center"/>
              <w:ind w:right="96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R. O</w:t>
            </w:r>
            <w:r>
              <w:rPr>
                <w:rFonts w:ascii="Arial" w:cs="Arial" w:eastAsia="Arial" w:hAnsi="Arial"/>
                <w:sz w:val="14"/>
                <w:szCs w:val="14"/>
                <w:color w:val="auto"/>
                <w:w w:val="97"/>
              </w:rPr>
              <w:t>LIVER</w:t>
            </w:r>
            <w:r>
              <w:rPr>
                <w:rFonts w:ascii="Arial" w:cs="Arial" w:eastAsia="Arial" w:hAnsi="Arial"/>
                <w:sz w:val="18"/>
                <w:szCs w:val="18"/>
                <w:color w:val="auto"/>
                <w:w w:val="97"/>
              </w:rPr>
              <w:t>, J</w:t>
            </w:r>
            <w:r>
              <w:rPr>
                <w:rFonts w:ascii="Arial" w:cs="Arial" w:eastAsia="Arial" w:hAnsi="Arial"/>
                <w:sz w:val="14"/>
                <w:szCs w:val="14"/>
                <w:color w:val="auto"/>
                <w:w w:val="97"/>
              </w:rPr>
              <w:t>R</w:t>
            </w:r>
            <w:r>
              <w:rPr>
                <w:rFonts w:ascii="Arial" w:cs="Arial" w:eastAsia="Arial" w:hAnsi="Arial"/>
                <w:sz w:val="18"/>
                <w:szCs w:val="18"/>
                <w:color w:val="auto"/>
                <w:w w:val="97"/>
              </w:rPr>
              <w:t>.</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4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David R. Oliver, Jr.</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4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B. V</w:t>
            </w:r>
            <w:r>
              <w:rPr>
                <w:rFonts w:ascii="Arial" w:cs="Arial" w:eastAsia="Arial" w:hAnsi="Arial"/>
                <w:sz w:val="14"/>
                <w:szCs w:val="14"/>
                <w:color w:val="auto"/>
              </w:rPr>
              <w:t>ANDER</w:t>
            </w:r>
            <w:r>
              <w:rPr>
                <w:rFonts w:ascii="Arial" w:cs="Arial" w:eastAsia="Arial" w:hAnsi="Arial"/>
                <w:sz w:val="18"/>
                <w:szCs w:val="18"/>
                <w:color w:val="auto"/>
              </w:rPr>
              <w:t xml:space="preserve"> S</w:t>
            </w:r>
            <w:r>
              <w:rPr>
                <w:rFonts w:ascii="Arial" w:cs="Arial" w:eastAsia="Arial" w:hAnsi="Arial"/>
                <w:sz w:val="14"/>
                <w:szCs w:val="14"/>
                <w:color w:val="auto"/>
              </w:rPr>
              <w:t>ANDE</w:t>
            </w:r>
          </w:p>
        </w:tc>
        <w:tc>
          <w:tcPr>
            <w:tcW w:w="5100" w:type="dxa"/>
            <w:vAlign w:val="bottom"/>
            <w:gridSpan w:val="3"/>
          </w:tcPr>
          <w:p>
            <w:pPr>
              <w:jc w:val="center"/>
              <w:ind w:left="434"/>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June 6, 2012</w:t>
            </w:r>
          </w:p>
        </w:tc>
      </w:tr>
      <w:tr>
        <w:trPr>
          <w:trHeight w:val="223"/>
        </w:trPr>
        <w:tc>
          <w:tcPr>
            <w:tcW w:w="4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John B. Vander Sande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56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3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2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700" w:type="dxa"/>
            <w:vAlign w:val="bottom"/>
          </w:tcPr>
          <w:p>
            <w:pPr>
              <w:ind w:left="200"/>
              <w:spacing w:after="0" w:line="201" w:lineRule="exact"/>
              <w:rPr>
                <w:sz w:val="20"/>
                <w:szCs w:val="20"/>
                <w:color w:val="auto"/>
              </w:rPr>
            </w:pPr>
            <w:r>
              <w:rPr>
                <w:rFonts w:ascii="Arial" w:cs="Arial" w:eastAsia="Arial" w:hAnsi="Arial"/>
                <w:sz w:val="18"/>
                <w:szCs w:val="18"/>
                <w:color w:val="auto"/>
              </w:rPr>
              <w:t>3.1</w:t>
            </w:r>
          </w:p>
        </w:tc>
        <w:tc>
          <w:tcPr>
            <w:tcW w:w="6040" w:type="dxa"/>
            <w:vAlign w:val="bottom"/>
            <w:gridSpan w:val="2"/>
          </w:tcPr>
          <w:p>
            <w:pPr>
              <w:ind w:left="660"/>
              <w:spacing w:after="0" w:line="201" w:lineRule="exact"/>
              <w:rPr>
                <w:sz w:val="20"/>
                <w:szCs w:val="20"/>
                <w:color w:val="auto"/>
              </w:rPr>
            </w:pPr>
            <w:r>
              <w:rPr>
                <w:rFonts w:ascii="Arial" w:cs="Arial" w:eastAsia="Arial" w:hAnsi="Arial"/>
                <w:sz w:val="18"/>
                <w:szCs w:val="18"/>
                <w:color w:val="auto"/>
                <w:w w:val="96"/>
              </w:rPr>
              <w:t>Restated Certificate of Incorporation of the Registrant, as amended(1)</w:t>
            </w:r>
          </w:p>
        </w:tc>
        <w:tc>
          <w:tcPr>
            <w:tcW w:w="4520" w:type="dxa"/>
            <w:vAlign w:val="bottom"/>
          </w:tcPr>
          <w:p>
            <w:pPr>
              <w:spacing w:after="0"/>
              <w:rPr>
                <w:sz w:val="17"/>
                <w:szCs w:val="17"/>
                <w:color w:val="auto"/>
              </w:rPr>
            </w:pPr>
          </w:p>
        </w:tc>
      </w:tr>
      <w:tr>
        <w:trPr>
          <w:trHeight w:val="216"/>
        </w:trPr>
        <w:tc>
          <w:tcPr>
            <w:tcW w:w="72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Amended and Restated By-laws, as amended, of the Registrant(2)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1993 Stock Option Plan(3)</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Amended and Restated 1996 Stock Incentive Plan(4)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incentive stock option agreement under Amended and Restated 1996 Stock Incentive Plan(5)</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non-statutory stock option agreement under Amended and Restated 1996 Stock Incentive Plan(5)</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1997 Director Stock Option Plan, as amended(6)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Stock Option Agreement under Second Amended and Restated 1997 Director Stock Option Plan, as amended(7)</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2004 Stock Incentive Plan, as amended(6)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incentive stock option agreement under 2004 Stock Incentive Plan, as amended(7)</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non-statutory stock option agreement under 2004 Stock Incentive Plan, as amended(7)</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restricted stock agreement under 2004 Stock Incentive Plan, as amended(7)</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2007 Stock Incentive Plan, as amended(8)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Incentive Stock Option Agreement under 2007 Stock Incentive Plan, as amended(9)</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Nonstatutory Stock Option Agreement under 2007 Stock Option Plan, as amended(9)</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9"/>
              </w:rPr>
              <w:t>Form of Restricted Stock Agreement Regarding Awards to Executive Officers under 2007 Stock Option Plan, as amended(9)</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Restricted Stock Agreement Regarding Awards to Employees, under 2007 Stock Option Plan, as amended(9)</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8"/>
              </w:rPr>
              <w:t>Form of Restricted Stock Agreement (regarding performance-based awards to executive officers and employees) under 2007 Stock Incentive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Plan, as amended(10)</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2007 Director Stock Plan, as amended(11)</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Nonstatutory Stock Option Agreement Under 2007 Director Stock Plan, as amended(9)</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Executive Incentive Plan for the fiscal year ending March 31, 2011(8)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Executive Incentive Plan for the fiscal year ending March 31, 2012(12)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of Employee Nondisclosure and Developments Agreement(13)</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Noncompetition Agreement dated as of July 10, 1987 between the Registrant and John Vander Sande(13)</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Retirement and Services Agreement, dated as of May 23, 2011, between the Registrant and Gregory J. Yurek(14)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Amended and Restated Executive Severance Agreement dated as of December 23, 2008 between the Registrant and David A. Henry(6)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Severance Agreement dated as of September 12, 2011 between the Registrant and Charles W. Stankiewicz(12)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1"/>
              </w:rPr>
              <w:t>Amended and Restated Executive Severance Agreement, dated as of May 24, 2011, between the Registrant and Daniel P. McGahn(14)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Amended and Restated Executive Severance Agreement dated as of December 23, 2008 between the Registrant and Timothy D. Poor(6)</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Executive Severance Agreement dated as of September 8, 2009 between the Registrant and Susan J. DiCecco(15)</w:t>
            </w:r>
          </w:p>
        </w:tc>
      </w:tr>
    </w:tbl>
    <w:p>
      <w:pPr>
        <w:sectPr>
          <w:pgSz w:w="11900" w:h="16838" w:orient="portrait"/>
          <w:cols w:equalWidth="0" w:num="1">
            <w:col w:w="11280"/>
          </w:cols>
          <w:pgMar w:left="240" w:top="45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3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rPr>
              <w:t>*10.29</w:t>
            </w:r>
          </w:p>
        </w:tc>
        <w:tc>
          <w:tcPr>
            <w:tcW w:w="10680" w:type="dxa"/>
            <w:vAlign w:val="bottom"/>
            <w:gridSpan w:val="3"/>
          </w:tcPr>
          <w:p>
            <w:pPr>
              <w:ind w:left="660"/>
              <w:spacing w:after="0" w:line="201" w:lineRule="exact"/>
              <w:rPr>
                <w:sz w:val="20"/>
                <w:szCs w:val="20"/>
                <w:color w:val="auto"/>
              </w:rPr>
            </w:pPr>
            <w:r>
              <w:rPr>
                <w:rFonts w:ascii="Arial" w:cs="Arial" w:eastAsia="Arial" w:hAnsi="Arial"/>
                <w:sz w:val="18"/>
                <w:szCs w:val="18"/>
                <w:color w:val="auto"/>
              </w:rPr>
              <w:t>Severance Agreement dated as of August 22, 2011 between the Registrant and Angelo R. Santamaria(16)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Stock Purchase Agreement, dated November 28, 2006, between the Registrant and Gerald Hehenberger Privatstiftung(17)</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Purchase Contract No. 06.7IC014 for the Core Components of the Electrical Control System of FL 1500 Wind Turbine, dated as of December</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15, 2006, between Sinovel Wind Co., Ltd and Windtec 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8"/>
              </w:rPr>
              <w:t>Purchase Contract No. 06.7IC015 for the Software of FL 1500 Wind Turbine, dated as of December 15, 2006, between Sinovel Wind Co., Ltd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and Windtec 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1"/>
              </w:rPr>
              <w:t>Contract Amendment to the Purchase Contract No. 06.7IC014 for the Core Components of the Electrical Control System of FL 1500 Wind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Turbine, dated as of March 6, 2007, between Sinovel Wind Co., Ltd and Windtec 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8"/>
              </w:rPr>
              <w:t>Contract Amendment to the Purchase Contract No. 06.7IC015 for the Software of FL 1500 Wind Turbine, dated as of March 6, 2007, between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Sinovel Wind Co., Ltd and Windtec 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4"/>
              </w:rPr>
              <w:t>Purchase Contract No. FDCG07060 for the Core Components of the Electrical Control System of SL 1500 Wind Turbine, dated as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3"/>
              </w:rPr>
              <w:t>December 24, 2007, between Sinovel Wind Co., Ltd, China National Machinery &amp; Equipment Import &amp; Export Corporation and Windtec</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Purchase Contract No. FDCG07061 for the Software of SL 1500 Wind Turbine, dated as of December 24, 2007, between Sinovel Wind Co.,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Ltd, China National Machinery &amp; Equipment Import &amp; Export Corporation and Windtec 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†10.37</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1"/>
              </w:rPr>
              <w:t>Purchase Contract No. FDCG08050 for the Electrical System of SL 3000 Wind Turbine, dated as of March 7, 2008, between Sinovel Wind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9"/>
              </w:rPr>
              <w:t>Co., Ltd, China National Machinery &amp; Equipment Import &amp; Export Corporation and Windtec Systemtechnik 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†10.38</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0"/>
              </w:rPr>
              <w:t>Purchase Contract No. FDCG08051 for the Core Components of the Electrical Control System of SL 3000 Wind Turbine, dated as of March</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1"/>
              </w:rPr>
              <w:t>7, 2008, between Sinovel Wind Co., Ltd, China National Machinery &amp; Equipment Import &amp; Export Corporation and Windtec Systemtechnik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Handels GmbH(18)</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1"/>
              </w:rPr>
              <w:t>Purchase Contract No. FDCG08045-01 for the Core Components of the Electrical Control System and Software of SL 1500 Wind Turbine,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effective as of June 5, 2008, between Sinovel Wind Co., Ltd and Suzhou AMSC Superconductor Co., Ltd.(19)</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2"/>
              </w:rPr>
              <w:t>Amendment No. HB-FDCG08045-01-2, dated July 24, 2009, to Purchase Contract No. FDCG08045-01 for the Core Components of the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0"/>
              </w:rPr>
              <w:t>Electrical Control System and Software of SL 1500 Wind Turbine, effective as of June 5, 2008, between Sinovel Wind Co., Ltd. and Suzhou</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AMSC Superconductor Co., Ltd.(20)</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2"/>
              </w:rPr>
              <w:t>Purchase Contract No. HCG1.5MW-10016-01, effective as of May 12, 2010, between Sinovel Wind Group Co., Ltd. and Suzhou AMSC</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Superconductor Co., Ltd.(21)</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1"/>
              </w:rPr>
              <w:t>Share Purchase Agreement, dated March 12, 2011, by and among the Registrant and the shareholders of The Switch Engineering Oy(22)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Letter Agreement, dated as of June 7, 2011, between the Registrant and The Switch Engineering Oy(23)</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4"/>
              </w:rPr>
              <w:t>Amendment Agreement, dated June 29, 2011, by and among the Registrant and the shareholders of The Switch Engineering Oy(24)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10.45</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2"/>
              </w:rPr>
              <w:t>Termination Agreement, dated October 28, 2011, among the shareholders of The Switch Engineering Oy, the Registrant and The Switch</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Engineering Oy(25)</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10.46</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97"/>
              </w:rPr>
              <w:t>Securities Purchase Agreement, dated as of April 4, 2012, by and between the Registrant and Capital Ventures International(26)</w:t>
            </w:r>
          </w:p>
        </w:tc>
      </w:tr>
    </w:tbl>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2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40" w:type="dxa"/>
            <w:vAlign w:val="bottom"/>
          </w:tcPr>
          <w:p>
            <w:pPr>
              <w:spacing w:after="0"/>
              <w:rPr>
                <w:sz w:val="14"/>
                <w:szCs w:val="14"/>
                <w:color w:val="auto"/>
              </w:rPr>
            </w:pPr>
          </w:p>
        </w:tc>
      </w:tr>
      <w:tr>
        <w:trPr>
          <w:trHeight w:val="201"/>
        </w:trPr>
        <w:tc>
          <w:tcPr>
            <w:tcW w:w="840" w:type="dxa"/>
            <w:vAlign w:val="bottom"/>
            <w:gridSpan w:val="2"/>
          </w:tcPr>
          <w:p>
            <w:pPr>
              <w:spacing w:after="0" w:line="201" w:lineRule="exact"/>
              <w:rPr>
                <w:sz w:val="20"/>
                <w:szCs w:val="20"/>
                <w:color w:val="auto"/>
              </w:rPr>
            </w:pPr>
            <w:r>
              <w:rPr>
                <w:rFonts w:ascii="Arial" w:cs="Arial" w:eastAsia="Arial" w:hAnsi="Arial"/>
                <w:sz w:val="18"/>
                <w:szCs w:val="18"/>
                <w:color w:val="auto"/>
              </w:rPr>
              <w:t>10.47</w:t>
            </w:r>
          </w:p>
        </w:tc>
        <w:tc>
          <w:tcPr>
            <w:tcW w:w="10460" w:type="dxa"/>
            <w:vAlign w:val="bottom"/>
            <w:gridSpan w:val="3"/>
          </w:tcPr>
          <w:p>
            <w:pPr>
              <w:ind w:left="540"/>
              <w:spacing w:after="0" w:line="201" w:lineRule="exact"/>
              <w:rPr>
                <w:sz w:val="20"/>
                <w:szCs w:val="20"/>
                <w:color w:val="auto"/>
              </w:rPr>
            </w:pPr>
            <w:r>
              <w:rPr>
                <w:rFonts w:ascii="Arial" w:cs="Arial" w:eastAsia="Arial" w:hAnsi="Arial"/>
                <w:sz w:val="18"/>
                <w:szCs w:val="18"/>
                <w:color w:val="auto"/>
                <w:w w:val="97"/>
              </w:rPr>
              <w:t>Registration Rights Agreement, dated as of April 4, 2012, by and between the Registrant and Capital Ventures International(26)</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10.48</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Form of Unsecured Senior Convertible Note(26)</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10.49</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Form of Unsecured Warrant(26)</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10.50</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92"/>
              </w:rPr>
              <w:t>Loan and Security Agreement, by and between Registrant and Hercules Technology Growth Capital, Inc., dated as of June 5, 2012(27)</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10.51</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Warrant Agreement, dated as of June 5, 2012, between the Registrant and Hercules Technology Growth Capital, Inc.(27)</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21.1</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Subsidiaries</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23.1</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91"/>
              </w:rPr>
              <w:t>Chief Executive Officer — Certification pursuant to Rule 13a-14(a) or Rule 15d-14(a) of the Securities Exchange Act of 1934, as adopted</w:t>
            </w: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91"/>
              </w:rPr>
              <w:t>Chief Financial Officer — Certification pursuant to Rule 13a-14(a) or Rule 15d-14(a) of the Securities Exchange Act of 1934, as adopted</w:t>
            </w: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89"/>
              </w:rPr>
              <w:t>Chief Executive Officer — Certification pursuant to Rule 13a-14(b) or Rule 15d-14(b) of the Securities Exchange Act of 1934 and 18 U.S.C.</w:t>
            </w: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w w:val="90"/>
              </w:rPr>
              <w:t>Chief Financial Officer — Certification pursuant to Rule 13a-14(b) or Rule 15d-14(b) of the Securities Exchange Act of 1934 and 18 U.S.C.</w:t>
            </w: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XBRL Taxonomy Label Linkbase Document.**</w:t>
            </w: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3"/>
          </w:tcPr>
          <w:p>
            <w:pPr>
              <w:ind w:left="5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9436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3" w:lineRule="exact"/>
        <w:rPr>
          <w:sz w:val="20"/>
          <w:szCs w:val="20"/>
          <w:color w:val="auto"/>
        </w:rPr>
      </w:pPr>
    </w:p>
    <w:p>
      <w:pPr>
        <w:ind w:left="460" w:hanging="364"/>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3.1 to the Quarterly Report on Form 10-Q filed with the Commission on February 9, 2012 (File No. 000-19672).</w:t>
      </w:r>
    </w:p>
    <w:p>
      <w:pPr>
        <w:spacing w:after="0" w:line="86" w:lineRule="exact"/>
        <w:rPr>
          <w:rFonts w:ascii="Arial" w:cs="Arial" w:eastAsia="Arial" w:hAnsi="Arial"/>
          <w:sz w:val="16"/>
          <w:szCs w:val="16"/>
          <w:color w:val="auto"/>
        </w:rPr>
      </w:pPr>
    </w:p>
    <w:p>
      <w:pPr>
        <w:ind w:left="460" w:right="2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Current Report on Form 8-K filed with the Commission on January 30, 2008 (Commission File No. 000-19672).</w:t>
      </w:r>
    </w:p>
    <w:p>
      <w:pPr>
        <w:spacing w:after="0" w:line="23" w:lineRule="exact"/>
        <w:rPr>
          <w:rFonts w:ascii="Arial" w:cs="Arial" w:eastAsia="Arial" w:hAnsi="Arial"/>
          <w:sz w:val="18"/>
          <w:szCs w:val="18"/>
          <w:color w:val="auto"/>
        </w:rPr>
      </w:pPr>
    </w:p>
    <w:p>
      <w:pPr>
        <w:ind w:left="460" w:right="6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1993 (Commission File No. 000-19672).</w:t>
      </w:r>
    </w:p>
    <w:p>
      <w:pPr>
        <w:spacing w:after="0" w:line="23" w:lineRule="exact"/>
        <w:rPr>
          <w:rFonts w:ascii="Arial" w:cs="Arial" w:eastAsia="Arial" w:hAnsi="Arial"/>
          <w:sz w:val="18"/>
          <w:szCs w:val="18"/>
          <w:color w:val="auto"/>
        </w:rPr>
      </w:pPr>
    </w:p>
    <w:p>
      <w:pPr>
        <w:ind w:left="46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10.21 to the Registrant’s Annual Report on Form 10-K filed with the Commission on June 27, 2001 (Commission File No. 000-19672).</w:t>
      </w:r>
    </w:p>
    <w:p>
      <w:pPr>
        <w:spacing w:after="0" w:line="23" w:lineRule="exact"/>
        <w:rPr>
          <w:rFonts w:ascii="Arial" w:cs="Arial" w:eastAsia="Arial" w:hAnsi="Arial"/>
          <w:sz w:val="18"/>
          <w:szCs w:val="18"/>
          <w:color w:val="auto"/>
        </w:rPr>
      </w:pPr>
    </w:p>
    <w:p>
      <w:pPr>
        <w:ind w:left="460" w:right="6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May 28, 2009 (Commission File No. 000-19672).</w:t>
      </w:r>
    </w:p>
    <w:p>
      <w:pPr>
        <w:spacing w:after="0" w:line="23" w:lineRule="exact"/>
        <w:rPr>
          <w:rFonts w:ascii="Arial" w:cs="Arial" w:eastAsia="Arial" w:hAnsi="Arial"/>
          <w:sz w:val="18"/>
          <w:szCs w:val="18"/>
          <w:color w:val="auto"/>
        </w:rPr>
      </w:pPr>
    </w:p>
    <w:p>
      <w:pPr>
        <w:ind w:left="460" w:right="12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10-Q filed with the Commission on February 5, 2009 (Commission File No. 000-19672).</w:t>
      </w:r>
    </w:p>
    <w:p>
      <w:pPr>
        <w:spacing w:after="0" w:line="23" w:lineRule="exact"/>
        <w:rPr>
          <w:rFonts w:ascii="Arial" w:cs="Arial" w:eastAsia="Arial" w:hAnsi="Arial"/>
          <w:sz w:val="18"/>
          <w:szCs w:val="18"/>
          <w:color w:val="auto"/>
        </w:rPr>
      </w:pPr>
    </w:p>
    <w:p>
      <w:pPr>
        <w:ind w:left="460" w:right="20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November 9, 2004 (Commission File No. 000-19672).</w:t>
      </w:r>
    </w:p>
    <w:p>
      <w:pPr>
        <w:spacing w:after="0" w:line="23" w:lineRule="exact"/>
        <w:rPr>
          <w:rFonts w:ascii="Arial" w:cs="Arial" w:eastAsia="Arial" w:hAnsi="Arial"/>
          <w:sz w:val="18"/>
          <w:szCs w:val="18"/>
          <w:color w:val="auto"/>
        </w:rPr>
      </w:pPr>
    </w:p>
    <w:p>
      <w:pPr>
        <w:ind w:left="460" w:right="6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May 27, 2010 (Commission File No. 000-19672).</w:t>
      </w:r>
    </w:p>
    <w:p>
      <w:pPr>
        <w:spacing w:after="0" w:line="23" w:lineRule="exact"/>
        <w:rPr>
          <w:rFonts w:ascii="Arial" w:cs="Arial" w:eastAsia="Arial" w:hAnsi="Arial"/>
          <w:sz w:val="18"/>
          <w:szCs w:val="18"/>
          <w:color w:val="auto"/>
        </w:rPr>
      </w:pPr>
    </w:p>
    <w:p>
      <w:pPr>
        <w:ind w:left="460" w:right="40" w:hanging="364"/>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August 7, 2007 (Commission File No. 000-19672).</w:t>
      </w:r>
    </w:p>
    <w:p>
      <w:pPr>
        <w:spacing w:after="0" w:line="23"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May 20, 2008 (Commission File No. 000-19672).</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August 6, 2009 (Commission File No. 000-19672).</w:t>
      </w:r>
    </w:p>
    <w:p>
      <w:pPr>
        <w:spacing w:after="0" w:line="23"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November 9, 2011 (Commission File No. 000-19672).</w:t>
      </w:r>
    </w:p>
    <w:p>
      <w:pPr>
        <w:spacing w:after="0" w:line="23"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Registration Statement on Form S-1, filed with the Commission on December 13, 1991 (File No. 333-43647).</w:t>
      </w:r>
    </w:p>
    <w:p>
      <w:pPr>
        <w:spacing w:after="0" w:line="23"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May 24, 2011 (Commission file No. 000-19672).</w:t>
      </w:r>
    </w:p>
    <w:p>
      <w:pPr>
        <w:spacing w:after="0" w:line="23" w:lineRule="exact"/>
        <w:rPr>
          <w:rFonts w:ascii="Arial" w:cs="Arial" w:eastAsia="Arial" w:hAnsi="Arial"/>
          <w:sz w:val="18"/>
          <w:szCs w:val="18"/>
          <w:color w:val="auto"/>
        </w:rPr>
      </w:pPr>
    </w:p>
    <w:p>
      <w:pPr>
        <w:ind w:left="460" w:right="9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Quarterly Report on Form 10-Q filed with the Commission on November 5, 2009 (Commission File No. 000-19672).</w:t>
      </w:r>
    </w:p>
    <w:p>
      <w:pPr>
        <w:spacing w:after="0" w:line="23"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10.29 to the Registrant’s Registration Statement on Form S-1, filed with the Commission on April 13, 2012 (File No. 333-180733).</w:t>
      </w:r>
    </w:p>
    <w:p>
      <w:pPr>
        <w:spacing w:after="0" w:line="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10.01 to the Registrant’s Current Report on Form 8-K filed with the Commission on November 29, 2006 (Commission File No. 000-19672).</w:t>
      </w:r>
    </w:p>
    <w:p>
      <w:pPr>
        <w:spacing w:after="0" w:line="23"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May 29, 2008 (Commission File No. 000-19672).</w:t>
      </w:r>
    </w:p>
    <w:p>
      <w:pPr>
        <w:spacing w:after="0" w:line="2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11, 2008 (Commission File No. 000-19672).</w:t>
      </w:r>
    </w:p>
    <w:p>
      <w:pPr>
        <w:spacing w:after="0" w:line="23"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July 30, 2009 (Commission File No. 000-19672).</w:t>
      </w:r>
    </w:p>
    <w:p>
      <w:pPr>
        <w:spacing w:after="0" w:line="23" w:lineRule="exact"/>
        <w:rPr>
          <w:rFonts w:ascii="Arial" w:cs="Arial" w:eastAsia="Arial" w:hAnsi="Arial"/>
          <w:sz w:val="18"/>
          <w:szCs w:val="18"/>
          <w:color w:val="auto"/>
        </w:rPr>
      </w:pPr>
    </w:p>
    <w:p>
      <w:pPr>
        <w:ind w:left="460" w:right="9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8-K/A filed with the Commission on September 15, 2010 (Commission File No. 000-19672).</w:t>
      </w:r>
    </w:p>
    <w:p>
      <w:pPr>
        <w:spacing w:after="0" w:line="23"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March 14, 2011 (Commission File No. 000-19672).</w:t>
      </w:r>
    </w:p>
    <w:p>
      <w:pPr>
        <w:spacing w:after="0" w:line="23"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13, 2011 (Commission file No. 000-19672).</w:t>
      </w:r>
    </w:p>
    <w:p>
      <w:pPr>
        <w:spacing w:after="0" w:line="23"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30, 2011 (Commission file No. 000-19672).</w:t>
      </w:r>
    </w:p>
    <w:p>
      <w:pPr>
        <w:spacing w:after="0" w:line="2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October 31, 2011 (Commission File No. 000-19672).</w:t>
      </w:r>
    </w:p>
    <w:p>
      <w:pPr>
        <w:spacing w:after="0" w:line="23"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April 4, 2012 (Commission File No. 000-19672).</w:t>
      </w:r>
    </w:p>
    <w:p>
      <w:pPr>
        <w:spacing w:after="0" w:line="23"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June 6, 2012 (Commission File No. 000-19672).</w:t>
      </w:r>
    </w:p>
    <w:p>
      <w:pPr>
        <w:spacing w:after="0" w:line="24" w:lineRule="exact"/>
        <w:rPr>
          <w:sz w:val="20"/>
          <w:szCs w:val="20"/>
          <w:color w:val="auto"/>
        </w:rPr>
      </w:pPr>
    </w:p>
    <w:p>
      <w:pPr>
        <w:ind w:left="460" w:right="640" w:hanging="276"/>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spacing w:after="0" w:line="24" w:lineRule="exact"/>
        <w:rPr>
          <w:sz w:val="20"/>
          <w:szCs w:val="20"/>
          <w:color w:val="auto"/>
        </w:rPr>
      </w:pPr>
    </w:p>
    <w:p>
      <w:pPr>
        <w:ind w:left="460" w:hanging="276"/>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63" w:lineRule="exact"/>
        <w:rPr>
          <w:sz w:val="20"/>
          <w:szCs w:val="20"/>
          <w:color w:val="auto"/>
        </w:rPr>
      </w:pPr>
    </w:p>
    <w:p>
      <w:pPr>
        <w:ind w:left="460" w:right="20" w:hanging="364"/>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Submitted electronically herewith. In accordance with Rule 406T of Regulation S-T, the XBRL related information in Exhibit 101 to this Annual Report on Form 10-K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ectPr>
          <w:pgSz w:w="11900" w:h="16838" w:orient="portrait"/>
          <w:cols w:equalWidth="0" w:num="1">
            <w:col w:w="11400"/>
          </w:cols>
          <w:pgMar w:left="240" w:top="459"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Australia Pty Ltd – incorporated in Australia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India Private Limited – incorporated in India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Austria GmbH – incorporated in Austria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Finland Holdings OY – incorporated in Finland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Wisconsin Wind LLC – formed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United Kingdom Limited – incorporated in the 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ASC Devens LLC – formed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ASC Securities Corp. – incorporated in Massachusetts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NST Asset Holding Corporation – incorporated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Superconductivity, Inc. – incorporated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Suzhou AMSC Super Conductor Co., Ltd. – incorporated in China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LLC – formed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GmbH – established in Germany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Korea Co., Ltd. – incorporated in South Korea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Canada Limited – incorporated in Canada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Singapore PTE. Ltd. – incorporated in Singapore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C.V. – incorporated in the Netherlands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B.V. (wholly-owned subsidiary of American Superconductor Europe C.V. ) – incorporated in the Netherlands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Blade Dynamics Limited (UK) – incorporated in the 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Tres Amigas, LLC – formed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9436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333-37163, 333-39653, 333-71539, 333-58016, 333-111477, 333-119125, 333-119126, 333-145685 and 333-170286) of American Superconductor Corporation of our report dated June 6, 2012 relating to the financial statements,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2012</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2012</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P. M</w:t>
      </w:r>
      <w:r>
        <w:rPr>
          <w:rFonts w:ascii="Arial" w:cs="Arial" w:eastAsia="Arial" w:hAnsi="Arial"/>
          <w:sz w:val="14"/>
          <w:szCs w:val="14"/>
          <w:color w:val="auto"/>
        </w:rPr>
        <w:t>C</w:t>
      </w:r>
      <w:r>
        <w:rPr>
          <w:rFonts w:ascii="Arial" w:cs="Arial" w:eastAsia="Arial" w:hAnsi="Arial"/>
          <w:sz w:val="18"/>
          <w:szCs w:val="18"/>
          <w:color w:val="auto"/>
        </w:rPr>
        <w:t>G</w:t>
      </w:r>
      <w:r>
        <w:rPr>
          <w:rFonts w:ascii="Arial" w:cs="Arial" w:eastAsia="Arial" w:hAnsi="Arial"/>
          <w:sz w:val="14"/>
          <w:szCs w:val="14"/>
          <w:color w:val="auto"/>
        </w:rPr>
        <w:t>AHN</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2012</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A. H</w:t>
      </w:r>
      <w:r>
        <w:rPr>
          <w:rFonts w:ascii="Arial" w:cs="Arial" w:eastAsia="Arial" w:hAnsi="Arial"/>
          <w:sz w:val="14"/>
          <w:szCs w:val="14"/>
          <w:color w:val="auto"/>
        </w:rPr>
        <w:t>ENRY</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year ended March 31, 2011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2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P. M</w:t>
      </w:r>
      <w:r>
        <w:rPr>
          <w:rFonts w:ascii="Arial" w:cs="Arial" w:eastAsia="Arial" w:hAnsi="Arial"/>
          <w:sz w:val="14"/>
          <w:szCs w:val="14"/>
          <w:color w:val="auto"/>
        </w:rPr>
        <w:t>C</w:t>
      </w:r>
      <w:r>
        <w:rPr>
          <w:rFonts w:ascii="Arial" w:cs="Arial" w:eastAsia="Arial" w:hAnsi="Arial"/>
          <w:sz w:val="18"/>
          <w:szCs w:val="18"/>
          <w:color w:val="auto"/>
        </w:rPr>
        <w:t>G</w:t>
      </w:r>
      <w:r>
        <w:rPr>
          <w:rFonts w:ascii="Arial" w:cs="Arial" w:eastAsia="Arial" w:hAnsi="Arial"/>
          <w:sz w:val="14"/>
          <w:szCs w:val="14"/>
          <w:color w:val="auto"/>
        </w:rPr>
        <w:t>AHN</w:t>
      </w:r>
    </w:p>
    <w:p>
      <w:pPr>
        <w:spacing w:after="0" w:line="1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6, 2012</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year ended March 31, 2011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2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A. H</w:t>
      </w:r>
      <w:r>
        <w:rPr>
          <w:rFonts w:ascii="Arial" w:cs="Arial" w:eastAsia="Arial" w:hAnsi="Arial"/>
          <w:sz w:val="14"/>
          <w:szCs w:val="14"/>
          <w:color w:val="auto"/>
        </w:rPr>
        <w:t>ENRY</w:t>
      </w:r>
    </w:p>
    <w:p>
      <w:pPr>
        <w:spacing w:after="0" w:line="1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6,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2"/>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4"/>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1"/>
    </w:lvl>
  </w:abstractNum>
  <w:abstractNum w:abstractNumId="28">
    <w:nsid w:val="5072367"/>
    <w:multiLevelType w:val="hybridMultilevel"/>
    <w:lvl w:ilvl="0">
      <w:lvlJc w:val="left"/>
      <w:lvlText w:val="%1."/>
      <w:numFmt w:val="decimal"/>
      <w:start w:val="12"/>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2019-12-09T10:15:26Z</dcterms:created>
  <dcterms:modified xsi:type="dcterms:W3CDTF">2019-12-09T10:15:26Z</dcterms:modified>
</cp:coreProperties>
</file>