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175895</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212725</wp:posOffset>
            </wp:positionV>
            <wp:extent cx="934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0" w:hanging="549"/>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22" w:lineRule="exact"/>
        <w:rPr>
          <w:sz w:val="20"/>
          <w:szCs w:val="20"/>
          <w:color w:val="auto"/>
        </w:rPr>
      </w:pPr>
    </w:p>
    <w:p>
      <w:pPr>
        <w:ind w:left="800" w:hanging="508"/>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0"/>
          <w:szCs w:val="20"/>
          <w:color w:val="auto"/>
        </w:rPr>
      </w:pPr>
    </w:p>
    <w:p>
      <w:pPr>
        <w:ind w:left="800"/>
        <w:spacing w:after="0"/>
        <w:tabs>
          <w:tab w:leader="none" w:pos="3640" w:val="left"/>
          <w:tab w:leader="none" w:pos="4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-7620</wp:posOffset>
            </wp:positionV>
            <wp:extent cx="71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55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197485</wp:posOffset>
            </wp:positionV>
            <wp:extent cx="934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American Superconductor Corporation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7220" w:type="dxa"/>
            <w:vAlign w:val="bottom"/>
            <w:gridSpan w:val="5"/>
          </w:tcPr>
          <w:p>
            <w:pPr>
              <w:ind w:left="120"/>
              <w:spacing w:after="0"/>
              <w:rPr>
                <w:sz w:val="20"/>
                <w:szCs w:val="20"/>
                <w:color w:val="auto"/>
              </w:rPr>
            </w:pPr>
            <w:r>
              <w:rPr>
                <w:rFonts w:ascii="Arial" w:cs="Arial" w:eastAsia="Arial" w:hAnsi="Arial"/>
                <w:sz w:val="13"/>
                <w:szCs w:val="13"/>
                <w:b w:val="1"/>
                <w:bCs w:val="1"/>
                <w:color w:val="auto"/>
              </w:rPr>
              <w:t>(Exact name of registrant as specified in its charter)</w:t>
            </w:r>
          </w:p>
        </w:tc>
      </w:tr>
      <w:tr>
        <w:trPr>
          <w:trHeight w:val="245"/>
        </w:trPr>
        <w:tc>
          <w:tcPr>
            <w:tcW w:w="4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960" w:type="dxa"/>
            <w:vAlign w:val="bottom"/>
          </w:tcPr>
          <w:p>
            <w:pPr>
              <w:spacing w:after="0"/>
              <w:rPr>
                <w:sz w:val="21"/>
                <w:szCs w:val="21"/>
                <w:color w:val="auto"/>
              </w:rPr>
            </w:pPr>
          </w:p>
        </w:tc>
      </w:tr>
      <w:tr>
        <w:trPr>
          <w:trHeight w:val="345"/>
        </w:trPr>
        <w:tc>
          <w:tcPr>
            <w:tcW w:w="4200" w:type="dxa"/>
            <w:vAlign w:val="bottom"/>
          </w:tcPr>
          <w:p>
            <w:pPr>
              <w:jc w:val="center"/>
              <w:ind w:left="1392"/>
              <w:spacing w:after="0"/>
              <w:rPr>
                <w:sz w:val="20"/>
                <w:szCs w:val="20"/>
                <w:color w:val="auto"/>
              </w:rPr>
            </w:pPr>
            <w:r>
              <w:rPr>
                <w:rFonts w:ascii="Arial" w:cs="Arial" w:eastAsia="Arial" w:hAnsi="Arial"/>
                <w:sz w:val="14"/>
                <w:szCs w:val="14"/>
                <w:b w:val="1"/>
                <w:bCs w:val="1"/>
                <w:color w:val="auto"/>
                <w:w w:val="94"/>
              </w:rPr>
              <w:t>Delaware</w:t>
            </w:r>
          </w:p>
        </w:tc>
        <w:tc>
          <w:tcPr>
            <w:tcW w:w="7220" w:type="dxa"/>
            <w:vAlign w:val="bottom"/>
            <w:gridSpan w:val="5"/>
          </w:tcPr>
          <w:p>
            <w:pPr>
              <w:jc w:val="right"/>
              <w:ind w:right="2414"/>
              <w:spacing w:after="0"/>
              <w:rPr>
                <w:sz w:val="20"/>
                <w:szCs w:val="20"/>
                <w:color w:val="auto"/>
              </w:rPr>
            </w:pPr>
            <w:r>
              <w:rPr>
                <w:rFonts w:ascii="Arial" w:cs="Arial" w:eastAsia="Arial" w:hAnsi="Arial"/>
                <w:sz w:val="14"/>
                <w:szCs w:val="14"/>
                <w:b w:val="1"/>
                <w:bCs w:val="1"/>
                <w:color w:val="auto"/>
              </w:rPr>
              <w:t>04-2959321</w:t>
            </w:r>
          </w:p>
        </w:tc>
      </w:tr>
      <w:tr>
        <w:trPr>
          <w:trHeight w:val="151"/>
        </w:trPr>
        <w:tc>
          <w:tcPr>
            <w:tcW w:w="4200" w:type="dxa"/>
            <w:vAlign w:val="bottom"/>
            <w:tcBorders>
              <w:top w:val="single" w:sz="8" w:color="auto"/>
            </w:tcBorders>
          </w:tcPr>
          <w:p>
            <w:pPr>
              <w:jc w:val="center"/>
              <w:ind w:left="1392"/>
              <w:spacing w:after="0"/>
              <w:rPr>
                <w:sz w:val="20"/>
                <w:szCs w:val="20"/>
                <w:color w:val="auto"/>
              </w:rPr>
            </w:pPr>
            <w:r>
              <w:rPr>
                <w:rFonts w:ascii="Arial" w:cs="Arial" w:eastAsia="Arial" w:hAnsi="Arial"/>
                <w:sz w:val="13"/>
                <w:szCs w:val="13"/>
                <w:b w:val="1"/>
                <w:bCs w:val="1"/>
                <w:color w:val="auto"/>
                <w:w w:val="88"/>
              </w:rPr>
              <w:t>(State or other jurisdiction of</w:t>
            </w:r>
          </w:p>
        </w:tc>
        <w:tc>
          <w:tcPr>
            <w:tcW w:w="7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960" w:type="dxa"/>
            <w:vAlign w:val="bottom"/>
            <w:tcBorders>
              <w:top w:val="single" w:sz="8" w:color="auto"/>
            </w:tcBorders>
          </w:tcPr>
          <w:p>
            <w:pPr>
              <w:jc w:val="center"/>
              <w:ind w:right="634"/>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200" w:type="dxa"/>
            <w:vAlign w:val="bottom"/>
          </w:tcPr>
          <w:p>
            <w:pPr>
              <w:jc w:val="center"/>
              <w:ind w:left="1392"/>
              <w:spacing w:after="0"/>
              <w:rPr>
                <w:sz w:val="20"/>
                <w:szCs w:val="20"/>
                <w:color w:val="auto"/>
              </w:rPr>
            </w:pPr>
            <w:r>
              <w:rPr>
                <w:rFonts w:ascii="Arial" w:cs="Arial" w:eastAsia="Arial" w:hAnsi="Arial"/>
                <w:sz w:val="13"/>
                <w:szCs w:val="13"/>
                <w:b w:val="1"/>
                <w:bCs w:val="1"/>
                <w:color w:val="auto"/>
                <w:w w:val="89"/>
              </w:rPr>
              <w:t>incorporation or organization)</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60" w:type="dxa"/>
            <w:vAlign w:val="bottom"/>
          </w:tcPr>
          <w:p>
            <w:pPr>
              <w:jc w:val="center"/>
              <w:ind w:right="634"/>
              <w:spacing w:after="0"/>
              <w:rPr>
                <w:sz w:val="20"/>
                <w:szCs w:val="20"/>
                <w:color w:val="auto"/>
              </w:rPr>
            </w:pPr>
            <w:r>
              <w:rPr>
                <w:rFonts w:ascii="Arial" w:cs="Arial" w:eastAsia="Arial" w:hAnsi="Arial"/>
                <w:sz w:val="13"/>
                <w:szCs w:val="13"/>
                <w:b w:val="1"/>
                <w:bCs w:val="1"/>
                <w:color w:val="auto"/>
                <w:w w:val="89"/>
              </w:rPr>
              <w:t>Identification No.)</w:t>
            </w:r>
          </w:p>
        </w:tc>
      </w:tr>
      <w:tr>
        <w:trPr>
          <w:trHeight w:val="516"/>
        </w:trPr>
        <w:tc>
          <w:tcPr>
            <w:tcW w:w="420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64 Jackson Road, Devens, Massachusetts</w:t>
            </w:r>
          </w:p>
        </w:tc>
        <w:tc>
          <w:tcPr>
            <w:tcW w:w="7220" w:type="dxa"/>
            <w:vAlign w:val="bottom"/>
            <w:gridSpan w:val="5"/>
          </w:tcPr>
          <w:p>
            <w:pPr>
              <w:jc w:val="right"/>
              <w:ind w:right="2574"/>
              <w:spacing w:after="0"/>
              <w:rPr>
                <w:sz w:val="20"/>
                <w:szCs w:val="20"/>
                <w:color w:val="auto"/>
              </w:rPr>
            </w:pPr>
            <w:r>
              <w:rPr>
                <w:rFonts w:ascii="Arial" w:cs="Arial" w:eastAsia="Arial" w:hAnsi="Arial"/>
                <w:sz w:val="14"/>
                <w:szCs w:val="14"/>
                <w:b w:val="1"/>
                <w:bCs w:val="1"/>
                <w:color w:val="auto"/>
              </w:rPr>
              <w:t>01434</w:t>
            </w:r>
          </w:p>
        </w:tc>
      </w:tr>
      <w:tr>
        <w:trPr>
          <w:trHeight w:val="198"/>
        </w:trPr>
        <w:tc>
          <w:tcPr>
            <w:tcW w:w="4200" w:type="dxa"/>
            <w:vAlign w:val="bottom"/>
            <w:tcBorders>
              <w:top w:val="single" w:sz="8" w:color="auto"/>
            </w:tcBorders>
          </w:tcPr>
          <w:p>
            <w:pPr>
              <w:jc w:val="center"/>
              <w:ind w:left="139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960" w:type="dxa"/>
            <w:vAlign w:val="bottom"/>
            <w:tcBorders>
              <w:top w:val="single" w:sz="8" w:color="auto"/>
            </w:tcBorders>
          </w:tcPr>
          <w:p>
            <w:pPr>
              <w:jc w:val="center"/>
              <w:ind w:right="634"/>
              <w:spacing w:after="0"/>
              <w:rPr>
                <w:sz w:val="20"/>
                <w:szCs w:val="20"/>
                <w:color w:val="auto"/>
              </w:rPr>
            </w:pPr>
            <w:r>
              <w:rPr>
                <w:rFonts w:ascii="Arial" w:cs="Arial" w:eastAsia="Arial" w:hAnsi="Arial"/>
                <w:sz w:val="14"/>
                <w:szCs w:val="14"/>
                <w:b w:val="1"/>
                <w:bCs w:val="1"/>
                <w:color w:val="auto"/>
                <w:w w:val="95"/>
              </w:rPr>
              <w:t>(Zip Code)</w:t>
            </w:r>
          </w:p>
        </w:tc>
      </w:tr>
    </w:tbl>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(978) 842-3000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194945</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firstLine="366"/>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0"/>
          <w:szCs w:val="20"/>
          <w:color w:val="auto"/>
        </w:rPr>
      </w:pPr>
    </w:p>
    <w:p>
      <w:pPr>
        <w:jc w:val="both"/>
        <w:ind w:firstLine="363"/>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ind w:right="20" w:firstLine="399"/>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34" w:lineRule="exact"/>
        <w:rPr>
          <w:sz w:val="20"/>
          <w:szCs w:val="20"/>
          <w:color w:val="auto"/>
        </w:rPr>
      </w:pPr>
    </w:p>
    <w:p>
      <w:pPr>
        <w:ind w:left="1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59" w:lineRule="exact"/>
        <w:rPr>
          <w:sz w:val="20"/>
          <w:szCs w:val="20"/>
          <w:color w:val="auto"/>
        </w:rPr>
      </w:pPr>
    </w:p>
    <w:p>
      <w:pPr>
        <w:sectPr>
          <w:pgSz w:w="11900" w:h="16838" w:orient="portrait"/>
          <w:cols w:equalWidth="0" w:num="4">
            <w:col w:w="2960" w:space="720"/>
            <w:col w:w="1200" w:space="720"/>
            <w:col w:w="2960" w:space="720"/>
            <w:col w:w="2140"/>
          </w:cols>
          <w:pgMar w:left="240" w:top="122" w:right="239" w:bottom="1440" w:gutter="0" w:footer="0" w:header="0"/>
          <w:type w:val="continuous"/>
        </w:sectPr>
      </w:pPr>
    </w:p>
    <w:p>
      <w:pPr>
        <w:ind w:left="552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122" w:right="239" w:bottom="1440" w:gutter="0" w:footer="0" w:header="0"/>
          <w:type w:val="continuous"/>
        </w:sectPr>
      </w:pPr>
    </w:p>
    <w:p>
      <w:pPr>
        <w:spacing w:after="0" w:line="100"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Shares outstanding of the Registrant’s common stock:</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5760" w:type="dxa"/>
            <w:vAlign w:val="bottom"/>
            <w:gridSpan w:val="2"/>
          </w:tcPr>
          <w:p>
            <w:pPr>
              <w:jc w:val="right"/>
              <w:ind w:right="2428"/>
              <w:spacing w:after="0"/>
              <w:rPr>
                <w:sz w:val="20"/>
                <w:szCs w:val="20"/>
                <w:color w:val="auto"/>
              </w:rPr>
            </w:pPr>
            <w:r>
              <w:rPr>
                <w:rFonts w:ascii="Arial" w:cs="Arial" w:eastAsia="Arial" w:hAnsi="Arial"/>
                <w:sz w:val="14"/>
                <w:szCs w:val="14"/>
                <w:color w:val="auto"/>
              </w:rPr>
              <w:t>46,051,793</w:t>
            </w:r>
          </w:p>
        </w:tc>
      </w:tr>
      <w:tr>
        <w:trPr>
          <w:trHeight w:val="238"/>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100" w:type="dxa"/>
            <w:vAlign w:val="bottom"/>
          </w:tcPr>
          <w:p>
            <w:pPr>
              <w:spacing w:after="0"/>
              <w:rPr>
                <w:sz w:val="20"/>
                <w:szCs w:val="20"/>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as of November 1, 2010</w:t>
            </w:r>
          </w:p>
        </w:tc>
      </w:tr>
      <w:tr>
        <w:trPr>
          <w:trHeight w:val="127"/>
        </w:trPr>
        <w:tc>
          <w:tcPr>
            <w:tcW w:w="5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60" w:type="dxa"/>
            <w:vAlign w:val="bottom"/>
            <w:tcBorders>
              <w:bottom w:val="single" w:sz="8" w:color="auto"/>
            </w:tcBorders>
          </w:tcPr>
          <w:p>
            <w:pPr>
              <w:spacing w:after="0"/>
              <w:rPr>
                <w:sz w:val="11"/>
                <w:szCs w:val="11"/>
                <w:color w:val="auto"/>
              </w:rPr>
            </w:pPr>
          </w:p>
        </w:tc>
      </w:tr>
      <w:tr>
        <w:trPr>
          <w:trHeight w:val="686"/>
        </w:trPr>
        <w:tc>
          <w:tcPr>
            <w:tcW w:w="5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10740" w:type="dxa"/>
            <w:vAlign w:val="bottom"/>
            <w:gridSpan w:val="2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100" w:type="dxa"/>
            <w:vAlign w:val="bottom"/>
            <w:tcBorders>
              <w:top w:val="single" w:sz="8" w:color="0000EE"/>
            </w:tcBorders>
            <w:gridSpan w:val="5"/>
          </w:tcPr>
          <w:p>
            <w:pPr>
              <w:spacing w:after="0"/>
              <w:rPr>
                <w:sz w:val="24"/>
                <w:szCs w:val="24"/>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Financial Statements</w:t>
              </w:r>
            </w:hyperlink>
          </w:p>
        </w:tc>
        <w:tc>
          <w:tcPr>
            <w:tcW w:w="7580" w:type="dxa"/>
            <w:vAlign w:val="bottom"/>
            <w:gridSpan w:val="9"/>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Balance Sheets as of September 30, 2010 and March 31, 2010</w:t>
              </w:r>
            </w:hyperlink>
          </w:p>
        </w:tc>
        <w:tc>
          <w:tcPr>
            <w:tcW w:w="2000" w:type="dxa"/>
            <w:vAlign w:val="bottom"/>
            <w:gridSpan w:val="4"/>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Income for the three and six months ended September 30, 2010 and 2009</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Comprehensive Income for the three and six months ended September 30,</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2010 and 2009</w:t>
              </w:r>
            </w:hyperlink>
          </w:p>
        </w:tc>
        <w:tc>
          <w:tcPr>
            <w:tcW w:w="7920" w:type="dxa"/>
            <w:vAlign w:val="bottom"/>
            <w:tcBorders>
              <w:top w:val="single" w:sz="8" w:color="0000EE"/>
            </w:tcBorders>
            <w:gridSpan w:val="11"/>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Cash Flows for the six months ended September 30, 2010 and 2009</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3740" w:type="dxa"/>
            <w:vAlign w:val="bottom"/>
            <w:tcBorders>
              <w:top w:val="single" w:sz="8" w:color="0000EE"/>
            </w:tcBorders>
            <w:gridSpan w:val="3"/>
          </w:tcPr>
          <w:p>
            <w:pPr>
              <w:spacing w:after="0"/>
              <w:rPr>
                <w:sz w:val="24"/>
                <w:szCs w:val="24"/>
                <w:color w:val="auto"/>
              </w:rPr>
            </w:pPr>
          </w:p>
        </w:tc>
        <w:tc>
          <w:tcPr>
            <w:tcW w:w="580" w:type="dxa"/>
            <w:vAlign w:val="bottom"/>
            <w:gridSpan w:val="3"/>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2.</w:t>
              </w:r>
            </w:hyperlink>
          </w:p>
        </w:tc>
        <w:tc>
          <w:tcPr>
            <w:tcW w:w="1080" w:type="dxa"/>
            <w:vAlign w:val="bottom"/>
            <w:gridSpan w:val="4"/>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3.</w:t>
              </w:r>
            </w:hyperlink>
          </w:p>
        </w:tc>
        <w:tc>
          <w:tcPr>
            <w:tcW w:w="1080" w:type="dxa"/>
            <w:vAlign w:val="bottom"/>
            <w:gridSpan w:val="4"/>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1080" w:type="dxa"/>
            <w:vAlign w:val="bottom"/>
            <w:gridSpan w:val="4"/>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20" w:type="dxa"/>
            <w:vAlign w:val="bottom"/>
            <w:tcBorders>
              <w:top w:val="single" w:sz="8" w:color="0000EE"/>
            </w:tcBorders>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124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880" w:type="dxa"/>
            <w:vAlign w:val="bottom"/>
            <w:gridSpan w:val="11"/>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100" w:type="dxa"/>
            <w:vAlign w:val="bottom"/>
          </w:tcPr>
          <w:p>
            <w:pPr>
              <w:spacing w:after="0"/>
              <w:rPr>
                <w:sz w:val="24"/>
                <w:szCs w:val="24"/>
                <w:color w:val="auto"/>
              </w:rPr>
            </w:pPr>
          </w:p>
        </w:tc>
        <w:tc>
          <w:tcPr>
            <w:tcW w:w="980" w:type="dxa"/>
            <w:vAlign w:val="bottom"/>
            <w:gridSpan w:val="3"/>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Signature</w:t>
              </w:r>
            </w:hyperlink>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EX-31.1</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EX-31.2</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140"/>
        <w:spacing w:after="0"/>
        <w:tabs>
          <w:tab w:leader="none" w:pos="500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September 30,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52,615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69,218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96,042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45,241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21,357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5,484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3,117</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293,074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78,160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47,508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30,506</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465,235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94,184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25,113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1,580</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120,877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104,760</w:t>
            </w:r>
          </w:p>
        </w:tc>
        <w:tc>
          <w:tcPr>
            <w:tcW w:w="0" w:type="dxa"/>
            <w:vAlign w:val="bottom"/>
          </w:tcPr>
          <w:p>
            <w:pPr>
              <w:spacing w:after="0"/>
              <w:rPr>
                <w:sz w:val="1"/>
                <w:szCs w:val="1"/>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16,433</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139,657</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119,219</w:t>
            </w:r>
          </w:p>
        </w:tc>
        <w:tc>
          <w:tcPr>
            <w:tcW w:w="0" w:type="dxa"/>
            <w:vAlign w:val="bottom"/>
          </w:tcPr>
          <w:p>
            <w:pPr>
              <w:spacing w:after="0"/>
              <w:rPr>
                <w:sz w:val="1"/>
                <w:szCs w:val="1"/>
                <w:color w:val="auto"/>
              </w:rPr>
            </w:pPr>
          </w:p>
        </w:tc>
      </w:tr>
      <w:tr>
        <w:trPr>
          <w:trHeight w:val="439"/>
        </w:trPr>
        <w:tc>
          <w:tcPr>
            <w:tcW w:w="8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718,411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(391,732)</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325,578</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465,235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INCOME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83"/>
              <w:spacing w:after="0"/>
              <w:rPr>
                <w:sz w:val="20"/>
                <w:szCs w:val="20"/>
                <w:color w:val="auto"/>
              </w:rPr>
            </w:pPr>
            <w:r>
              <w:rPr>
                <w:rFonts w:ascii="Arial" w:cs="Arial" w:eastAsia="Arial" w:hAnsi="Arial"/>
                <w:sz w:val="15"/>
                <w:szCs w:val="15"/>
                <w:b w:val="1"/>
                <w:bCs w:val="1"/>
                <w:color w:val="auto"/>
              </w:rPr>
              <w:t>Three months ended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b w:val="1"/>
                <w:bCs w:val="1"/>
                <w:color w:val="auto"/>
              </w:rPr>
              <w:t>2010</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b w:val="1"/>
                <w:bCs w:val="1"/>
                <w:color w:val="auto"/>
              </w:rPr>
              <w:t>2009</w:t>
            </w:r>
          </w:p>
        </w:tc>
        <w:tc>
          <w:tcPr>
            <w:tcW w:w="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b w:val="1"/>
                <w:bCs w:val="1"/>
                <w:color w:val="auto"/>
              </w:rPr>
              <w:t>2010</w:t>
            </w: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b w:val="1"/>
                <w:bCs w:val="1"/>
                <w:color w:val="auto"/>
                <w:w w:val="89"/>
              </w:rPr>
              <w:t>2009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Revenues</w:t>
            </w:r>
          </w:p>
        </w:tc>
        <w:tc>
          <w:tcPr>
            <w:tcW w:w="30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101,529</w:t>
            </w: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74,672</w:t>
            </w: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198,739</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147,672</w:t>
            </w:r>
          </w:p>
        </w:tc>
        <w:tc>
          <w:tcPr>
            <w:tcW w:w="0" w:type="dxa"/>
            <w:vAlign w:val="bottom"/>
          </w:tcPr>
          <w:p>
            <w:pPr>
              <w:spacing w:after="0"/>
              <w:rPr>
                <w:sz w:val="1"/>
                <w:szCs w:val="1"/>
                <w:color w:val="auto"/>
              </w:rPr>
            </w:pPr>
          </w:p>
        </w:tc>
      </w:tr>
      <w:tr>
        <w:trPr>
          <w:trHeight w:val="331"/>
        </w:trPr>
        <w:tc>
          <w:tcPr>
            <w:tcW w:w="5680" w:type="dxa"/>
            <w:vAlign w:val="bottom"/>
            <w:gridSpan w:val="2"/>
          </w:tcPr>
          <w:p>
            <w:pPr>
              <w:spacing w:after="0"/>
              <w:rPr>
                <w:sz w:val="20"/>
                <w:szCs w:val="20"/>
                <w:color w:val="auto"/>
              </w:rPr>
            </w:pPr>
            <w:r>
              <w:rPr>
                <w:rFonts w:ascii="Arial" w:cs="Arial" w:eastAsia="Arial" w:hAnsi="Arial"/>
                <w:sz w:val="15"/>
                <w:szCs w:val="15"/>
                <w:color w:val="auto"/>
              </w:rPr>
              <w:t>Cost and operating expenses:</w:t>
            </w: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860"/>
              <w:spacing w:after="0" w:line="162" w:lineRule="exact"/>
              <w:rPr>
                <w:sz w:val="20"/>
                <w:szCs w:val="20"/>
                <w:color w:val="auto"/>
              </w:rPr>
            </w:pPr>
            <w:r>
              <w:rPr>
                <w:rFonts w:ascii="Arial" w:cs="Arial" w:eastAsia="Arial" w:hAnsi="Arial"/>
                <w:sz w:val="15"/>
                <w:szCs w:val="15"/>
                <w:color w:val="auto"/>
              </w:rPr>
              <w:t>Cost of revenues</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60,226</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45,637</w:t>
            </w: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118,450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96,054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860"/>
              <w:spacing w:after="0" w:line="162" w:lineRule="exact"/>
              <w:rPr>
                <w:sz w:val="20"/>
                <w:szCs w:val="20"/>
                <w:color w:val="auto"/>
              </w:rPr>
            </w:pPr>
            <w:r>
              <w:rPr>
                <w:rFonts w:ascii="Arial" w:cs="Arial" w:eastAsia="Arial" w:hAnsi="Arial"/>
                <w:sz w:val="15"/>
                <w:szCs w:val="15"/>
                <w:color w:val="auto"/>
              </w:rPr>
              <w:t>Research and development</w:t>
            </w:r>
          </w:p>
        </w:tc>
        <w:tc>
          <w:tcPr>
            <w:tcW w:w="300" w:type="dxa"/>
            <w:vAlign w:val="bottom"/>
          </w:tcPr>
          <w:p>
            <w:pPr>
              <w:spacing w:after="0"/>
              <w:rPr>
                <w:sz w:val="14"/>
                <w:szCs w:val="14"/>
                <w:color w:val="auto"/>
              </w:rPr>
            </w:pPr>
          </w:p>
        </w:tc>
        <w:tc>
          <w:tcPr>
            <w:tcW w:w="8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7,857</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5,416</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15,192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9,944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860"/>
              <w:spacing w:after="0" w:line="162" w:lineRule="exact"/>
              <w:rPr>
                <w:sz w:val="20"/>
                <w:szCs w:val="20"/>
                <w:color w:val="auto"/>
              </w:rPr>
            </w:pPr>
            <w:r>
              <w:rPr>
                <w:rFonts w:ascii="Arial" w:cs="Arial" w:eastAsia="Arial" w:hAnsi="Arial"/>
                <w:sz w:val="15"/>
                <w:szCs w:val="15"/>
                <w:color w:val="auto"/>
              </w:rPr>
              <w:t>Selling, general and administrative</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17,127</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12,712</w:t>
            </w: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32,310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860"/>
              <w:spacing w:after="0" w:line="162" w:lineRule="exact"/>
              <w:rPr>
                <w:sz w:val="20"/>
                <w:szCs w:val="20"/>
                <w:color w:val="auto"/>
              </w:rPr>
            </w:pPr>
            <w:r>
              <w:rPr>
                <w:rFonts w:ascii="Arial" w:cs="Arial" w:eastAsia="Arial" w:hAnsi="Arial"/>
                <w:sz w:val="15"/>
                <w:szCs w:val="15"/>
                <w:color w:val="auto"/>
              </w:rPr>
              <w:t>Amortization of acquisition related intangibles</w:t>
            </w:r>
          </w:p>
        </w:tc>
        <w:tc>
          <w:tcPr>
            <w:tcW w:w="300" w:type="dxa"/>
            <w:vAlign w:val="bottom"/>
          </w:tcPr>
          <w:p>
            <w:pPr>
              <w:spacing w:after="0"/>
              <w:rPr>
                <w:sz w:val="14"/>
                <w:szCs w:val="14"/>
                <w:color w:val="auto"/>
              </w:rPr>
            </w:pPr>
          </w:p>
        </w:tc>
        <w:tc>
          <w:tcPr>
            <w:tcW w:w="8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374</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460</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762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860"/>
              <w:spacing w:after="0" w:line="162" w:lineRule="exact"/>
              <w:rPr>
                <w:sz w:val="20"/>
                <w:szCs w:val="20"/>
                <w:color w:val="auto"/>
              </w:rPr>
            </w:pPr>
            <w:r>
              <w:rPr>
                <w:rFonts w:ascii="Arial" w:cs="Arial" w:eastAsia="Arial" w:hAnsi="Arial"/>
                <w:sz w:val="15"/>
                <w:szCs w:val="15"/>
                <w:color w:val="auto"/>
              </w:rPr>
              <w:t>Restructuring and impairments</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117</w:t>
            </w:r>
          </w:p>
        </w:tc>
        <w:tc>
          <w:tcPr>
            <w:tcW w:w="5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tcPr>
          <w:p>
            <w:pPr>
              <w:ind w:left="1000"/>
              <w:spacing w:after="0" w:line="169" w:lineRule="exact"/>
              <w:rPr>
                <w:sz w:val="20"/>
                <w:szCs w:val="20"/>
                <w:color w:val="auto"/>
              </w:rPr>
            </w:pPr>
            <w:r>
              <w:rPr>
                <w:rFonts w:ascii="Arial" w:cs="Arial" w:eastAsia="Arial" w:hAnsi="Arial"/>
                <w:sz w:val="15"/>
                <w:szCs w:val="15"/>
                <w:color w:val="auto"/>
              </w:rPr>
              <w:t>Total cost and operating expenses</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
              <w:spacing w:after="0" w:line="169" w:lineRule="exact"/>
              <w:rPr>
                <w:sz w:val="20"/>
                <w:szCs w:val="20"/>
                <w:color w:val="auto"/>
              </w:rPr>
            </w:pPr>
            <w:r>
              <w:rPr>
                <w:rFonts w:ascii="Arial" w:cs="Arial" w:eastAsia="Arial" w:hAnsi="Arial"/>
                <w:sz w:val="15"/>
                <w:szCs w:val="15"/>
                <w:color w:val="auto"/>
              </w:rPr>
              <w:t>85,584</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
              <w:spacing w:after="0" w:line="169" w:lineRule="exact"/>
              <w:rPr>
                <w:sz w:val="20"/>
                <w:szCs w:val="20"/>
                <w:color w:val="auto"/>
              </w:rPr>
            </w:pPr>
            <w:r>
              <w:rPr>
                <w:rFonts w:ascii="Arial" w:cs="Arial" w:eastAsia="Arial" w:hAnsi="Arial"/>
                <w:sz w:val="15"/>
                <w:szCs w:val="15"/>
                <w:color w:val="auto"/>
              </w:rPr>
              <w:t>64,342</w:t>
            </w: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
              <w:spacing w:after="0" w:line="169" w:lineRule="exact"/>
              <w:rPr>
                <w:sz w:val="20"/>
                <w:szCs w:val="20"/>
                <w:color w:val="auto"/>
              </w:rPr>
            </w:pPr>
            <w:r>
              <w:rPr>
                <w:rFonts w:ascii="Arial" w:cs="Arial" w:eastAsia="Arial" w:hAnsi="Arial"/>
                <w:sz w:val="15"/>
                <w:szCs w:val="15"/>
                <w:color w:val="auto"/>
              </w:rPr>
              <w:t>166,714</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130,951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income</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15,945</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10,330</w:t>
            </w: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32,025</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16,721</w:t>
            </w:r>
          </w:p>
        </w:tc>
        <w:tc>
          <w:tcPr>
            <w:tcW w:w="0" w:type="dxa"/>
            <w:vAlign w:val="bottom"/>
          </w:tcPr>
          <w:p>
            <w:pPr>
              <w:spacing w:after="0"/>
              <w:rPr>
                <w:sz w:val="1"/>
                <w:szCs w:val="1"/>
                <w:color w:val="auto"/>
              </w:rPr>
            </w:pPr>
          </w:p>
        </w:tc>
      </w:tr>
      <w:tr>
        <w:trPr>
          <w:trHeight w:val="324"/>
        </w:trPr>
        <w:tc>
          <w:tcPr>
            <w:tcW w:w="568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30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191</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190</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367</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 net</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2,448</w:t>
            </w:r>
          </w:p>
        </w:tc>
        <w:tc>
          <w:tcPr>
            <w:tcW w:w="3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(871)</w:t>
            </w:r>
          </w:p>
        </w:tc>
        <w:tc>
          <w:tcPr>
            <w:tcW w:w="5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2,618</w:t>
            </w:r>
          </w:p>
        </w:tc>
        <w:tc>
          <w:tcPr>
            <w:tcW w:w="3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(2,847)</w:t>
            </w:r>
          </w:p>
        </w:tc>
        <w:tc>
          <w:tcPr>
            <w:tcW w:w="0" w:type="dxa"/>
            <w:vAlign w:val="bottom"/>
          </w:tcPr>
          <w:p>
            <w:pPr>
              <w:spacing w:after="0"/>
              <w:rPr>
                <w:sz w:val="1"/>
                <w:szCs w:val="1"/>
                <w:color w:val="auto"/>
              </w:rPr>
            </w:pPr>
          </w:p>
        </w:tc>
      </w:tr>
      <w:tr>
        <w:trPr>
          <w:trHeight w:val="350"/>
        </w:trPr>
        <w:tc>
          <w:tcPr>
            <w:tcW w:w="5680" w:type="dxa"/>
            <w:vAlign w:val="bottom"/>
            <w:gridSpan w:val="2"/>
          </w:tcPr>
          <w:p>
            <w:pPr>
              <w:spacing w:after="0"/>
              <w:rPr>
                <w:sz w:val="20"/>
                <w:szCs w:val="20"/>
                <w:color w:val="auto"/>
              </w:rPr>
            </w:pPr>
            <w:r>
              <w:rPr>
                <w:rFonts w:ascii="Arial" w:cs="Arial" w:eastAsia="Arial" w:hAnsi="Arial"/>
                <w:sz w:val="15"/>
                <w:szCs w:val="15"/>
                <w:color w:val="auto"/>
              </w:rPr>
              <w:t>Income before income tax expense</w:t>
            </w:r>
          </w:p>
        </w:tc>
        <w:tc>
          <w:tcPr>
            <w:tcW w:w="30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18,584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9,649</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35,010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14,307</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tax expense</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8,596</w:t>
            </w:r>
          </w:p>
        </w:tc>
        <w:tc>
          <w:tcPr>
            <w:tcW w:w="3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5,309</w:t>
            </w:r>
          </w:p>
        </w:tc>
        <w:tc>
          <w:tcPr>
            <w:tcW w:w="5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15,853</w:t>
            </w:r>
          </w:p>
        </w:tc>
        <w:tc>
          <w:tcPr>
            <w:tcW w:w="3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8,175</w:t>
            </w:r>
          </w:p>
        </w:tc>
        <w:tc>
          <w:tcPr>
            <w:tcW w:w="0" w:type="dxa"/>
            <w:vAlign w:val="bottom"/>
          </w:tcPr>
          <w:p>
            <w:pPr>
              <w:spacing w:after="0"/>
              <w:rPr>
                <w:sz w:val="1"/>
                <w:szCs w:val="1"/>
                <w:color w:val="auto"/>
              </w:rPr>
            </w:pPr>
          </w:p>
        </w:tc>
      </w:tr>
      <w:tr>
        <w:trPr>
          <w:trHeight w:val="331"/>
        </w:trPr>
        <w:tc>
          <w:tcPr>
            <w:tcW w:w="568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9,988</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4,340</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19,157</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 per common share</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860"/>
              <w:spacing w:after="0" w:line="162" w:lineRule="exact"/>
              <w:rPr>
                <w:sz w:val="20"/>
                <w:szCs w:val="20"/>
                <w:color w:val="auto"/>
              </w:rPr>
            </w:pPr>
            <w:r>
              <w:rPr>
                <w:rFonts w:ascii="Arial" w:cs="Arial" w:eastAsia="Arial" w:hAnsi="Arial"/>
                <w:sz w:val="15"/>
                <w:szCs w:val="15"/>
                <w:color w:val="auto"/>
              </w:rPr>
              <w:t>Basic</w:t>
            </w: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0.22</w:t>
            </w:r>
          </w:p>
        </w:tc>
        <w:tc>
          <w:tcPr>
            <w:tcW w:w="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0.10</w:t>
            </w: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0.42</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ind w:left="860"/>
              <w:spacing w:after="0" w:line="156" w:lineRule="exact"/>
              <w:rPr>
                <w:sz w:val="20"/>
                <w:szCs w:val="20"/>
                <w:color w:val="auto"/>
              </w:rPr>
            </w:pPr>
            <w:r>
              <w:rPr>
                <w:rFonts w:ascii="Arial" w:cs="Arial" w:eastAsia="Arial" w:hAnsi="Arial"/>
                <w:sz w:val="15"/>
                <w:szCs w:val="15"/>
                <w:color w:val="auto"/>
              </w:rPr>
              <w:t>Diluted</w:t>
            </w:r>
          </w:p>
        </w:tc>
        <w:tc>
          <w:tcPr>
            <w:tcW w:w="30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0.22</w:t>
            </w: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0.10</w:t>
            </w:r>
          </w:p>
        </w:tc>
        <w:tc>
          <w:tcPr>
            <w:tcW w:w="8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0.42</w:t>
            </w:r>
          </w:p>
        </w:tc>
        <w:tc>
          <w:tcPr>
            <w:tcW w:w="6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number of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860"/>
              <w:spacing w:after="0" w:line="162" w:lineRule="exact"/>
              <w:rPr>
                <w:sz w:val="20"/>
                <w:szCs w:val="20"/>
                <w:color w:val="auto"/>
              </w:rPr>
            </w:pPr>
            <w:r>
              <w:rPr>
                <w:rFonts w:ascii="Arial" w:cs="Arial" w:eastAsia="Arial" w:hAnsi="Arial"/>
                <w:sz w:val="15"/>
                <w:szCs w:val="15"/>
                <w:color w:val="auto"/>
              </w:rPr>
              <w:t>Basic</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45,482</w:t>
            </w:r>
          </w:p>
        </w:tc>
        <w:tc>
          <w:tcPr>
            <w:tcW w:w="3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44,247</w:t>
            </w:r>
          </w:p>
        </w:tc>
        <w:tc>
          <w:tcPr>
            <w:tcW w:w="5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45,363</w:t>
            </w:r>
          </w:p>
        </w:tc>
        <w:tc>
          <w:tcPr>
            <w:tcW w:w="3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860"/>
              <w:spacing w:after="0"/>
              <w:rPr>
                <w:sz w:val="20"/>
                <w:szCs w:val="20"/>
                <w:color w:val="auto"/>
              </w:rPr>
            </w:pPr>
            <w:r>
              <w:rPr>
                <w:rFonts w:ascii="Arial" w:cs="Arial" w:eastAsia="Arial" w:hAnsi="Arial"/>
                <w:sz w:val="15"/>
                <w:szCs w:val="15"/>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46,217</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45,233</w:t>
            </w:r>
          </w:p>
        </w:tc>
        <w:tc>
          <w:tcPr>
            <w:tcW w:w="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46,099</w:t>
            </w: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44,922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1820"/>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2009</w:t>
            </w: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9,988</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4,340</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19,157</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439"/>
        </w:trPr>
        <w:tc>
          <w:tcPr>
            <w:tcW w:w="520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16,525</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Unrealized gains on cash flow hedges</w:t>
            </w: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losses on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17,955</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3,229</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5,454</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27,943</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7,569</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24,611</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19,157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(used in) provided by operations: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5,428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Stock-based compensation expense—non-employee</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non-cash items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Changes in operating asset and liability accounts: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8,011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7,820</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21,687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Proceeds from the maturity of marketable securities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15,482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 in restricted cash</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Purchase of intangible assets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 of minority investment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Change in other assets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(37,295)</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Proceeds from exercise of employee stock options and ESPP</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1,574</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1,574</w:t>
            </w: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2,620</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(34,979)</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87,594</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70,674</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52,615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86,752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Non-cash contingent consideration in connection with acquisitions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10,003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Non-cash issuance of common stock</w:t>
            </w:r>
          </w:p>
        </w:tc>
        <w:tc>
          <w:tcPr>
            <w:tcW w:w="3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75"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renewable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111"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generally accepted accounting principles in the United States of America. The unaudited condensed consolidated financial statements, in the opinion of management, reflect all adjustments (consisting of normal recurring adjustments) necessary for a fair statement of the results for the interim periods ended September 30, 2010 and 2009 and the financial position at September 30, 2010. The unaudited condensed consolidated financial statements include the accounts of the Company and its wholly-owned subsidiaries. All significant intercompany balances and transactions are eliminated in consolidation.</w:t>
      </w:r>
    </w:p>
    <w:p>
      <w:pPr>
        <w:spacing w:after="0" w:line="112" w:lineRule="exact"/>
        <w:rPr>
          <w:sz w:val="20"/>
          <w:szCs w:val="20"/>
          <w:color w:val="auto"/>
        </w:rPr>
      </w:pPr>
    </w:p>
    <w:p>
      <w:pPr>
        <w:jc w:val="both"/>
        <w:ind w:firstLine="630"/>
        <w:spacing w:after="0" w:line="286" w:lineRule="auto"/>
        <w:rPr>
          <w:sz w:val="20"/>
          <w:szCs w:val="20"/>
          <w:color w:val="auto"/>
        </w:rPr>
      </w:pPr>
      <w:r>
        <w:rPr>
          <w:rFonts w:ascii="Arial" w:cs="Arial" w:eastAsia="Arial" w:hAnsi="Arial"/>
          <w:sz w:val="17"/>
          <w:szCs w:val="17"/>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2010 (fiscal 2009) which are contained in the Company’s Annual Report on Form 10-K, filed with the SEC on May 27, 2010.</w:t>
      </w:r>
    </w:p>
    <w:p>
      <w:pPr>
        <w:spacing w:after="0" w:line="44" w:lineRule="exact"/>
        <w:rPr>
          <w:sz w:val="20"/>
          <w:szCs w:val="20"/>
          <w:color w:val="auto"/>
        </w:rPr>
      </w:pPr>
    </w:p>
    <w:p>
      <w:pPr>
        <w:ind w:right="740" w:firstLine="447"/>
        <w:spacing w:after="0" w:line="438" w:lineRule="auto"/>
        <w:rPr>
          <w:sz w:val="20"/>
          <w:szCs w:val="20"/>
          <w:color w:val="auto"/>
        </w:rPr>
      </w:pPr>
      <w:r>
        <w:rPr>
          <w:rFonts w:ascii="Arial" w:cs="Arial" w:eastAsia="Arial" w:hAnsi="Arial"/>
          <w:sz w:val="18"/>
          <w:szCs w:val="18"/>
          <w:color w:val="auto"/>
        </w:rPr>
        <w:t xml:space="preserve">The Company has performed an evaluation of subsequent events through the time of filing this Quarterly Report on Form 10-Q with the SEC. </w:t>
      </w:r>
      <w:r>
        <w:rPr>
          <w:rFonts w:ascii="Arial" w:cs="Arial" w:eastAsia="Arial" w:hAnsi="Arial"/>
          <w:sz w:val="18"/>
          <w:szCs w:val="18"/>
          <w:b w:val="1"/>
          <w:bCs w:val="1"/>
          <w:color w:val="auto"/>
        </w:rPr>
        <w:t>Recently Adopted Accounting Pronouncements</w:t>
      </w:r>
    </w:p>
    <w:p>
      <w:pPr>
        <w:spacing w:after="0" w:line="1" w:lineRule="exact"/>
        <w:rPr>
          <w:sz w:val="20"/>
          <w:szCs w:val="20"/>
          <w:color w:val="auto"/>
        </w:rPr>
      </w:pPr>
    </w:p>
    <w:p>
      <w:pPr>
        <w:jc w:val="both"/>
        <w:ind w:firstLine="524"/>
        <w:spacing w:after="0" w:line="272" w:lineRule="auto"/>
        <w:rPr>
          <w:sz w:val="20"/>
          <w:szCs w:val="20"/>
          <w:color w:val="auto"/>
        </w:rPr>
      </w:pPr>
      <w:r>
        <w:rPr>
          <w:rFonts w:ascii="Arial" w:cs="Arial" w:eastAsia="Arial" w:hAnsi="Arial"/>
          <w:sz w:val="17"/>
          <w:szCs w:val="17"/>
          <w:color w:val="auto"/>
        </w:rPr>
        <w:t xml:space="preserve">In October 2009, the FASB issued Accounting Standards Update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 or third-party evidence of the selling prices, consideration must be allocated to the deliverables based on management’s best estimate of the selling prices. In addition, the new standard eliminates the use of the residual method of allocation. The new accounting standard supersedes the prior multiple element revenue arrangement accounting rules that were previously used by the Company. The Company adopted this new accounting standard on April 1, 2010 using the prospective method and the adoption did not have a material impact on its condensed consolidated financial statements.</w:t>
      </w:r>
    </w:p>
    <w:p>
      <w:pPr>
        <w:spacing w:after="0" w:line="17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employee stock-based compensation expense by financial statement line item for the three and six months ended September 30, 2010 and 2009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r>
      <w:tr>
        <w:trPr>
          <w:trHeight w:val="161"/>
        </w:trPr>
        <w:tc>
          <w:tcPr>
            <w:tcW w:w="6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1,159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990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3,183</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5,831</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5,349</w:t>
            </w:r>
          </w:p>
        </w:tc>
      </w:tr>
      <w:tr>
        <w:trPr>
          <w:trHeight w:val="223"/>
        </w:trPr>
        <w:tc>
          <w:tcPr>
            <w:tcW w:w="640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4,326</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3,852</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7,825</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6,918</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653"/>
        <w:spacing w:after="0" w:line="273" w:lineRule="auto"/>
        <w:rPr>
          <w:sz w:val="20"/>
          <w:szCs w:val="20"/>
          <w:color w:val="auto"/>
        </w:rPr>
      </w:pPr>
      <w:r>
        <w:rPr>
          <w:rFonts w:ascii="Arial" w:cs="Arial" w:eastAsia="Arial" w:hAnsi="Arial"/>
          <w:sz w:val="17"/>
          <w:szCs w:val="17"/>
          <w:color w:val="auto"/>
        </w:rPr>
        <w:t>During the six months ended September 30, 2010, the Company granted approximately 219,000 shares and 324,000 shares of stock options and restricted stock, respectively, to employees under the 2007 Stock Incentive Plan. The restricted stock awards include approximately 86,000 shares of performance-based restricted stock, which will vest upon achievement of certain annual financial and operational performance measurements. The remaining shares granted vest upon the passage of time, generally 3 years. For awards that vest upon the passage of time, expense is being recorded on a straight-line basis over the vesting period. At September 30, 2010, the Company determined that achievement of the performance measures is probable and as such, is recognizing the fair value of the performance-based awards over the estimated performance period of each award.</w:t>
      </w:r>
    </w:p>
    <w:p>
      <w:pPr>
        <w:spacing w:after="0" w:line="124" w:lineRule="exact"/>
        <w:rPr>
          <w:sz w:val="20"/>
          <w:szCs w:val="20"/>
          <w:color w:val="auto"/>
        </w:rPr>
      </w:pPr>
    </w:p>
    <w:p>
      <w:pPr>
        <w:jc w:val="both"/>
        <w:ind w:right="20" w:firstLine="618"/>
        <w:spacing w:after="0" w:line="277"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estimated forfeitures, was $22.6 million at September 30, 2010. This expense will be recognized over a weighted-average expense period of 2.2 years.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weighted-average assumptions used in the Black-Scholes valuation model for stock options granted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2009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5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16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5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580" w:type="dxa"/>
            <w:vAlign w:val="bottom"/>
          </w:tcPr>
          <w:p>
            <w:pPr>
              <w:spacing w:after="0"/>
              <w:rPr>
                <w:sz w:val="12"/>
                <w:szCs w:val="12"/>
                <w:color w:val="auto"/>
              </w:rPr>
            </w:pPr>
          </w:p>
        </w:tc>
        <w:tc>
          <w:tcPr>
            <w:tcW w:w="64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9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6.2</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Dividend yield</w:t>
            </w: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0"/>
                <w:szCs w:val="20"/>
                <w:color w:val="auto"/>
              </w:rPr>
            </w:pPr>
          </w:p>
        </w:tc>
        <w:tc>
          <w:tcPr>
            <w:tcW w:w="640" w:type="dxa"/>
            <w:vAlign w:val="bottom"/>
          </w:tcPr>
          <w:p>
            <w:pPr>
              <w:jc w:val="right"/>
              <w:ind w:right="61"/>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0"/>
                <w:szCs w:val="20"/>
                <w:color w:val="auto"/>
              </w:rPr>
            </w:pPr>
          </w:p>
        </w:tc>
        <w:tc>
          <w:tcPr>
            <w:tcW w:w="580" w:type="dxa"/>
            <w:vAlign w:val="bottom"/>
          </w:tcPr>
          <w:p>
            <w:pPr>
              <w:jc w:val="right"/>
              <w:ind w:right="27"/>
              <w:spacing w:after="0"/>
              <w:rPr>
                <w:sz w:val="20"/>
                <w:szCs w:val="20"/>
                <w:color w:val="auto"/>
              </w:rPr>
            </w:pPr>
            <w:r>
              <w:rPr>
                <w:rFonts w:ascii="Arial" w:cs="Arial" w:eastAsia="Arial" w:hAnsi="Arial"/>
                <w:sz w:val="18"/>
                <w:szCs w:val="18"/>
                <w:color w:val="auto"/>
              </w:rPr>
              <w:t>None</w:t>
            </w:r>
          </w:p>
        </w:tc>
        <w:tc>
          <w:tcPr>
            <w:tcW w:w="5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8"/>
                <w:szCs w:val="18"/>
                <w:color w:val="auto"/>
              </w:rPr>
              <w:t>None</w:t>
            </w:r>
          </w:p>
        </w:tc>
      </w:tr>
    </w:tbl>
    <w:p>
      <w:pPr>
        <w:spacing w:after="0" w:line="133" w:lineRule="exact"/>
        <w:rPr>
          <w:sz w:val="20"/>
          <w:szCs w:val="20"/>
          <w:color w:val="auto"/>
        </w:rPr>
      </w:pPr>
    </w:p>
    <w:p>
      <w:pPr>
        <w:jc w:val="both"/>
        <w:ind w:firstLine="669"/>
        <w:spacing w:after="0" w:line="271" w:lineRule="auto"/>
        <w:rPr>
          <w:sz w:val="20"/>
          <w:szCs w:val="20"/>
          <w:color w:val="auto"/>
        </w:rPr>
      </w:pPr>
      <w:r>
        <w:rPr>
          <w:rFonts w:ascii="Arial" w:cs="Arial" w:eastAsia="Arial" w:hAnsi="Arial"/>
          <w:sz w:val="17"/>
          <w:szCs w:val="17"/>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the average of the five and seven year U.S. Treasury rates for the three and six months ended September 30, 2010 and the five year U.S. Treasury rates for the three and six months ended September 30, 2009. The stock-based compensation expense recognized in the unaudited condensed consolidated statements of income is based on awards that ultimately are expected to vest; therefore, the amount of expense has been reduced for estimated forfeitures. Forfeitures are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12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Income per Common Share</w:t>
      </w:r>
    </w:p>
    <w:p>
      <w:pPr>
        <w:spacing w:after="0" w:line="121"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 for the period. Diluted EPS is computed by dividing the net earnings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six months ended September 30, 2010 and 2009, common equivalent shares of 1.3 million shares and 1.4 million shares, respectively, and 0.9 million shares and 0.8 million shares, respectively, were not included in the calculation of diluted EPS as they were considered anti-dilutive.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six months ended September 30, 2010 and 2009 (in thousands, except per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4"/>
              </w:rPr>
              <w:t>For the three months ended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2"/>
              </w:rPr>
              <w:t>For the 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9,988</w:t>
            </w:r>
          </w:p>
        </w:tc>
        <w:tc>
          <w:tcPr>
            <w:tcW w:w="7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4,340</w:t>
            </w:r>
          </w:p>
        </w:tc>
        <w:tc>
          <w:tcPr>
            <w:tcW w:w="5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19,157</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200"/>
              <w:spacing w:after="0"/>
              <w:rPr>
                <w:sz w:val="20"/>
                <w:szCs w:val="20"/>
                <w:color w:val="auto"/>
              </w:rPr>
            </w:pPr>
            <w:r>
              <w:rPr>
                <w:rFonts w:ascii="Arial" w:cs="Arial" w:eastAsia="Arial" w:hAnsi="Arial"/>
                <w:sz w:val="16"/>
                <w:szCs w:val="16"/>
                <w:color w:val="auto"/>
              </w:rPr>
              <w:t>Weighted-average shares of common stock outstanding</w:t>
            </w: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45,694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44,299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45,597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44,080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Weighted-average shares subject to repurchase</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406"/>
        </w:trPr>
        <w:tc>
          <w:tcPr>
            <w:tcW w:w="5800" w:type="dxa"/>
            <w:vAlign w:val="bottom"/>
            <w:gridSpan w:val="2"/>
          </w:tcPr>
          <w:p>
            <w:pPr>
              <w:spacing w:after="0"/>
              <w:rPr>
                <w:sz w:val="20"/>
                <w:szCs w:val="20"/>
                <w:color w:val="auto"/>
              </w:rPr>
            </w:pPr>
            <w:r>
              <w:rPr>
                <w:rFonts w:ascii="Arial" w:cs="Arial" w:eastAsia="Arial" w:hAnsi="Arial"/>
                <w:sz w:val="16"/>
                <w:szCs w:val="16"/>
                <w:color w:val="auto"/>
              </w:rPr>
              <w:t>Shares used in per-share calculation — basic</w:t>
            </w:r>
          </w:p>
        </w:tc>
        <w:tc>
          <w:tcPr>
            <w:tcW w:w="2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45,482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44,247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45,363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44,020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Dilutive effect of employee equity incentive plans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735</w:t>
            </w:r>
          </w:p>
        </w:tc>
        <w:tc>
          <w:tcPr>
            <w:tcW w:w="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986</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737</w:t>
            </w:r>
          </w:p>
        </w:tc>
        <w:tc>
          <w:tcPr>
            <w:tcW w:w="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409"/>
        </w:trPr>
        <w:tc>
          <w:tcPr>
            <w:tcW w:w="5800" w:type="dxa"/>
            <w:vAlign w:val="bottom"/>
            <w:gridSpan w:val="2"/>
          </w:tcPr>
          <w:p>
            <w:pPr>
              <w:spacing w:after="0"/>
              <w:rPr>
                <w:sz w:val="20"/>
                <w:szCs w:val="20"/>
                <w:color w:val="auto"/>
              </w:rPr>
            </w:pPr>
            <w:r>
              <w:rPr>
                <w:rFonts w:ascii="Arial" w:cs="Arial" w:eastAsia="Arial" w:hAnsi="Arial"/>
                <w:sz w:val="16"/>
                <w:szCs w:val="16"/>
                <w:color w:val="auto"/>
              </w:rPr>
              <w:t>Shares used in per-share calculation — diluted</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46,217</w:t>
            </w:r>
          </w:p>
        </w:tc>
        <w:tc>
          <w:tcPr>
            <w:tcW w:w="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45,233</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46,099</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44,922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 — basic</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0.22</w:t>
            </w:r>
          </w:p>
        </w:tc>
        <w:tc>
          <w:tcPr>
            <w:tcW w:w="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0.10</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0.42</w:t>
            </w:r>
          </w:p>
        </w:tc>
        <w:tc>
          <w:tcPr>
            <w:tcW w:w="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00" w:type="dxa"/>
            <w:vAlign w:val="bottom"/>
            <w:gridSpan w:val="2"/>
          </w:tcPr>
          <w:p>
            <w:pPr>
              <w:spacing w:after="0"/>
              <w:rPr>
                <w:sz w:val="20"/>
                <w:szCs w:val="20"/>
                <w:color w:val="auto"/>
              </w:rPr>
            </w:pPr>
            <w:r>
              <w:rPr>
                <w:rFonts w:ascii="Arial" w:cs="Arial" w:eastAsia="Arial" w:hAnsi="Arial"/>
                <w:sz w:val="16"/>
                <w:szCs w:val="16"/>
                <w:color w:val="auto"/>
              </w:rPr>
              <w:t>Net income per share — diluted</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0.22</w:t>
            </w:r>
          </w:p>
        </w:tc>
        <w:tc>
          <w:tcPr>
            <w:tcW w:w="7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0.10</w:t>
            </w:r>
          </w:p>
        </w:tc>
        <w:tc>
          <w:tcPr>
            <w:tcW w:w="5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0.42</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The accounting standard established a fair value hierarchy which requires an entity to maximize the use of observable inputs, where available. This hierarchy prioritizes the inputs into three broad levels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Hierarchy</w:t>
      </w:r>
    </w:p>
    <w:p>
      <w:pPr>
        <w:spacing w:after="0" w:line="221" w:lineRule="exact"/>
        <w:rPr>
          <w:sz w:val="20"/>
          <w:szCs w:val="20"/>
          <w:color w:val="auto"/>
        </w:rPr>
      </w:pPr>
    </w:p>
    <w:p>
      <w:pPr>
        <w:jc w:val="both"/>
        <w:ind w:left="1620" w:right="800" w:hanging="809"/>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Inputs are unadjusted quoted prices in active markets for identical assets or liabilities that the Company has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access at the measurement date.</w:t>
      </w:r>
    </w:p>
    <w:p>
      <w:pPr>
        <w:spacing w:after="0" w:line="54" w:lineRule="exact"/>
        <w:rPr>
          <w:sz w:val="20"/>
          <w:szCs w:val="20"/>
          <w:color w:val="auto"/>
        </w:rPr>
      </w:pPr>
    </w:p>
    <w:p>
      <w:pPr>
        <w:jc w:val="both"/>
        <w:ind w:left="1620" w:right="800" w:hanging="809"/>
        <w:spacing w:after="0" w:line="261"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Inputs include quoted prices for similar assets and liabilities in active markets, quoted prices for identical or similar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72" w:lineRule="exact"/>
        <w:rPr>
          <w:sz w:val="20"/>
          <w:szCs w:val="20"/>
          <w:color w:val="auto"/>
        </w:rPr>
      </w:pPr>
    </w:p>
    <w:p>
      <w:pPr>
        <w:jc w:val="both"/>
        <w:ind w:left="1620" w:right="820" w:hanging="809"/>
        <w:spacing w:after="0" w:line="313" w:lineRule="auto"/>
        <w:rPr>
          <w:sz w:val="20"/>
          <w:szCs w:val="20"/>
          <w:color w:val="auto"/>
        </w:rPr>
      </w:pPr>
      <w:r>
        <w:rPr>
          <w:rFonts w:ascii="Arial" w:cs="Arial" w:eastAsia="Arial" w:hAnsi="Arial"/>
          <w:sz w:val="17"/>
          <w:szCs w:val="17"/>
          <w:b w:val="1"/>
          <w:bCs w:val="1"/>
          <w:color w:val="auto"/>
        </w:rPr>
        <w:t xml:space="preserve">Level 3 - </w:t>
      </w:r>
      <w:r>
        <w:rPr>
          <w:rFonts w:ascii="Arial" w:cs="Arial" w:eastAsia="Arial" w:hAnsi="Arial"/>
          <w:sz w:val="17"/>
          <w:szCs w:val="17"/>
          <w:color w:val="auto"/>
        </w:rPr>
        <w:t>Unobservable inputs that reflect the Company’s assumptions that market participants would use in pricing the asset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The Company develops these inputs based on the best information available, including its own data.</w:t>
      </w:r>
    </w:p>
    <w:p>
      <w:pPr>
        <w:spacing w:after="0" w:line="88" w:lineRule="exact"/>
        <w:rPr>
          <w:sz w:val="20"/>
          <w:szCs w:val="20"/>
          <w:color w:val="auto"/>
        </w:rPr>
      </w:pPr>
    </w:p>
    <w:p>
      <w:pPr>
        <w:ind w:firstLine="587"/>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September 30, 2010 and March 31, 2010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Using Significant Other</w:t>
            </w: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Using Significant</w:t>
            </w:r>
          </w:p>
        </w:tc>
      </w:tr>
      <w:tr>
        <w:trPr>
          <w:trHeight w:val="149"/>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7,524</w:t>
            </w:r>
          </w:p>
        </w:tc>
        <w:tc>
          <w:tcPr>
            <w:tcW w:w="3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69,218</w:t>
            </w:r>
          </w:p>
        </w:tc>
        <w:tc>
          <w:tcPr>
            <w:tcW w:w="2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69,218</w:t>
            </w:r>
          </w:p>
        </w:tc>
        <w:tc>
          <w:tcPr>
            <w:tcW w:w="30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54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Using Significant Other</w:t>
            </w: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Using Significant</w:t>
            </w:r>
          </w:p>
        </w:tc>
      </w:tr>
      <w:tr>
        <w:trPr>
          <w:trHeight w:val="149"/>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29,054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29,054</w:t>
            </w:r>
          </w:p>
        </w:tc>
        <w:tc>
          <w:tcPr>
            <w:tcW w:w="3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54,469</w:t>
            </w:r>
          </w:p>
        </w:tc>
        <w:tc>
          <w:tcPr>
            <w:tcW w:w="2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54,469</w:t>
            </w:r>
          </w:p>
        </w:tc>
        <w:tc>
          <w:tcPr>
            <w:tcW w:w="30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85" w:lineRule="exact"/>
        <w:rPr>
          <w:sz w:val="20"/>
          <w:szCs w:val="20"/>
          <w:color w:val="auto"/>
        </w:rPr>
      </w:pPr>
    </w:p>
    <w:p>
      <w:pPr>
        <w:jc w:val="both"/>
        <w:ind w:firstLine="479"/>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money market accounts and corporate debt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Long-term and short-term marketable securities consist primarily of government-backed securities and sovereign debt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Short-term marketable securities have maturities of greater than three months from original purchase date but less than twelve months from the date of the balance sheet.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20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 currency options to manage the foreign currency exposures that exist as part of its ongoing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Company hedges a portion of its intercompany sales of inventory over a maximum period of 15 months using forward foreign exchange contracts accounted for as cash flow hedges to mitigate the impact of volatility associated with foreign currency transactions.</w:t>
      </w:r>
    </w:p>
    <w:p>
      <w:pPr>
        <w:spacing w:after="0" w:line="35" w:lineRule="exact"/>
        <w:rPr>
          <w:sz w:val="20"/>
          <w:szCs w:val="20"/>
          <w:color w:val="auto"/>
        </w:rPr>
      </w:pPr>
    </w:p>
    <w:p>
      <w:pPr>
        <w:jc w:val="both"/>
        <w:ind w:firstLine="569"/>
        <w:spacing w:after="0" w:line="276" w:lineRule="auto"/>
        <w:rPr>
          <w:sz w:val="20"/>
          <w:szCs w:val="20"/>
          <w:color w:val="auto"/>
        </w:rPr>
      </w:pPr>
      <w:r>
        <w:rPr>
          <w:rFonts w:ascii="Arial" w:cs="Arial" w:eastAsia="Arial" w:hAnsi="Arial"/>
          <w:sz w:val="17"/>
          <w:szCs w:val="17"/>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The Company does not enter into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 instruments for trading or speculative purposes.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w:t>
      </w:r>
    </w:p>
    <w:p>
      <w:pPr>
        <w:spacing w:after="0" w:line="30" w:lineRule="exact"/>
        <w:rPr>
          <w:sz w:val="20"/>
          <w:szCs w:val="20"/>
          <w:color w:val="auto"/>
        </w:rPr>
      </w:pPr>
    </w:p>
    <w:p>
      <w:pPr>
        <w:jc w:val="both"/>
        <w:ind w:firstLine="645"/>
        <w:spacing w:after="0" w:line="302" w:lineRule="auto"/>
        <w:rPr>
          <w:sz w:val="20"/>
          <w:szCs w:val="20"/>
          <w:color w:val="auto"/>
        </w:rPr>
      </w:pPr>
      <w:r>
        <w:rPr>
          <w:rFonts w:ascii="Arial" w:cs="Arial" w:eastAsia="Arial" w:hAnsi="Arial"/>
          <w:sz w:val="16"/>
          <w:szCs w:val="16"/>
          <w:color w:val="auto"/>
        </w:rPr>
        <w:t>At September 30, 2010, the Company had forward contracts outstanding to hedge cash flow exposure at the Company’s wholly-owned Austrian subsidiary, AMSC Windtec GmbH (“AMSC Windtec”), with aggregate USD equivalent notional amounts of $34.4 million. These contracts will expire at various dates through June 2011. The net gain or loss from these cash flow hedges reported in accumulated other comprehensive income will be reclassified to earnings and recorded in cost of revenues in our condensed consolidated statement of income when the related inventory is sold to third-party customers.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jc w:val="both"/>
        <w:ind w:firstLine="492"/>
        <w:spacing w:after="0" w:line="302" w:lineRule="auto"/>
        <w:rPr>
          <w:sz w:val="20"/>
          <w:szCs w:val="20"/>
          <w:color w:val="auto"/>
        </w:rPr>
      </w:pPr>
      <w:r>
        <w:rPr>
          <w:rFonts w:ascii="Arial" w:cs="Arial" w:eastAsia="Arial" w:hAnsi="Arial"/>
          <w:sz w:val="16"/>
          <w:szCs w:val="16"/>
          <w:color w:val="auto"/>
        </w:rPr>
        <w:t>In addition to cash flow hedges, the Company also enters into foreign currency forward exchange contracts to mitigate the impact of foreign exchange risk related to non-functional currency receivable balances in its foreign entities. The Company does not elect hedge accounting treatment for these hedges, consequently, changes in the fair value of these contracts are recorded within other income (expense), net, in the period which they occur. At September 30, 2010, the Company had forward contracts outstanding with aggregate USD equivalent notional amounts of $58.9 million, which expired in October 2010.</w:t>
      </w:r>
    </w:p>
    <w:p>
      <w:pPr>
        <w:spacing w:after="0" w:line="4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fair value amounts of asset derivatives included in prepaid expenses and other current assets and liability derivatives included in accounts payable and accrued expenses in our condensed consolidated balance sheets related to forward foreign exchange contracts as of September 30, 2010 and March 31, 2010 were as follows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 derivatives</w:t>
            </w:r>
          </w:p>
        </w:tc>
        <w:tc>
          <w:tcPr>
            <w:tcW w:w="7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740" w:type="dxa"/>
            <w:vAlign w:val="bottom"/>
          </w:tcPr>
          <w:p>
            <w:pPr>
              <w:jc w:val="center"/>
              <w:ind w:right="179"/>
              <w:spacing w:after="0" w:line="129" w:lineRule="exact"/>
              <w:rPr>
                <w:sz w:val="20"/>
                <w:szCs w:val="20"/>
                <w:color w:val="auto"/>
              </w:rPr>
            </w:pPr>
            <w:r>
              <w:rPr>
                <w:rFonts w:ascii="Arial" w:cs="Arial" w:eastAsia="Arial" w:hAnsi="Arial"/>
                <w:sz w:val="14"/>
                <w:szCs w:val="14"/>
                <w:b w:val="1"/>
                <w:bCs w:val="1"/>
                <w:color w:val="auto"/>
                <w:w w:val="96"/>
              </w:rPr>
              <w:t>March</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21"/>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w w:val="84"/>
              </w:rPr>
              <w:t>31, 2010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Derivatives designated as cash flow hedges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Derivatives not designated as 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4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following pre-tax gains related to forward foreign exchange contracts designated as cash flow hedges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September</w:t>
            </w:r>
          </w:p>
        </w:tc>
        <w:tc>
          <w:tcPr>
            <w:tcW w:w="320" w:type="dxa"/>
            <w:vAlign w:val="bottom"/>
          </w:tcPr>
          <w:p>
            <w:pPr>
              <w:spacing w:after="0"/>
              <w:rPr>
                <w:sz w:val="11"/>
                <w:szCs w:val="11"/>
                <w:color w:val="auto"/>
              </w:rPr>
            </w:pPr>
          </w:p>
        </w:tc>
        <w:tc>
          <w:tcPr>
            <w:tcW w:w="102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w:t>
            </w:r>
          </w:p>
        </w:tc>
        <w:tc>
          <w:tcPr>
            <w:tcW w:w="44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September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30, 2010</w:t>
            </w: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30, 2010</w:t>
            </w:r>
          </w:p>
        </w:tc>
        <w:tc>
          <w:tcPr>
            <w:tcW w:w="40" w:type="dxa"/>
            <w:vAlign w:val="bottom"/>
          </w:tcPr>
          <w:p>
            <w:pPr>
              <w:spacing w:after="0"/>
              <w:rPr>
                <w:sz w:val="14"/>
                <w:szCs w:val="14"/>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30, 2009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Gains recognized in other comprehensive income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ind w:right="50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1,758</w:t>
            </w:r>
          </w:p>
        </w:tc>
        <w:tc>
          <w:tcPr>
            <w:tcW w:w="440" w:type="dxa"/>
            <w:vAlign w:val="bottom"/>
          </w:tcPr>
          <w:p>
            <w:pPr>
              <w:spacing w:after="0"/>
              <w:rPr>
                <w:sz w:val="19"/>
                <w:szCs w:val="19"/>
                <w:color w:val="auto"/>
              </w:rPr>
            </w:pPr>
          </w:p>
        </w:tc>
        <w:tc>
          <w:tcPr>
            <w:tcW w:w="580" w:type="dxa"/>
            <w:vAlign w:val="bottom"/>
            <w:tcBorders>
              <w:top w:val="single" w:sz="8" w:color="auto"/>
            </w:tcBorders>
          </w:tcPr>
          <w:p>
            <w:pPr>
              <w:jc w:val="right"/>
              <w:ind w:right="40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11040" w:type="dxa"/>
            <w:vAlign w:val="bottom"/>
            <w:gridSpan w:val="17"/>
          </w:tcPr>
          <w:p>
            <w:pPr>
              <w:spacing w:after="0"/>
              <w:rPr>
                <w:sz w:val="20"/>
                <w:szCs w:val="20"/>
                <w:color w:val="auto"/>
              </w:rPr>
            </w:pPr>
            <w:r>
              <w:rPr>
                <w:rFonts w:ascii="Arial" w:cs="Arial" w:eastAsia="Arial" w:hAnsi="Arial"/>
                <w:sz w:val="18"/>
                <w:szCs w:val="18"/>
                <w:color w:val="auto"/>
                <w:w w:val="91"/>
              </w:rPr>
              <w:t>The Company recognized the following pre-tax gains related to forward foreign exchange contracts not designated as cash flow hedges (in thousands):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September</w:t>
            </w:r>
          </w:p>
        </w:tc>
        <w:tc>
          <w:tcPr>
            <w:tcW w:w="32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8"/>
              </w:rPr>
              <w:t>September</w:t>
            </w:r>
          </w:p>
        </w:tc>
        <w:tc>
          <w:tcPr>
            <w:tcW w:w="44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4"/>
              </w:rPr>
              <w:t>30, 2010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30, 2010</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recognized in other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Gains recognized in cost of revenues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10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10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93,941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53,430</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34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10,305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20" w:type="dxa"/>
            <w:vAlign w:val="bottom"/>
          </w:tcPr>
          <w:p>
            <w:pPr>
              <w:spacing w:after="0"/>
              <w:rPr>
                <w:sz w:val="19"/>
                <w:szCs w:val="19"/>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96,042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62,203</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603"/>
        <w:spacing w:after="0" w:line="308" w:lineRule="auto"/>
        <w:rPr>
          <w:sz w:val="20"/>
          <w:szCs w:val="20"/>
          <w:color w:val="auto"/>
        </w:rPr>
      </w:pPr>
      <w:r>
        <w:rPr>
          <w:rFonts w:ascii="Arial" w:cs="Arial" w:eastAsia="Arial" w:hAnsi="Arial"/>
          <w:sz w:val="17"/>
          <w:szCs w:val="17"/>
          <w:color w:val="auto"/>
        </w:rPr>
        <w:t>The Company also recorded net long-term accounts receivable of $17.8 million and $14.1 million as of September 30, 2010 and March 31, 2010, respectively, which are also classified within other assets and long-term deferred revenue on the condensed consolidated balance sheet.</w:t>
      </w:r>
    </w:p>
    <w:p>
      <w:pPr>
        <w:spacing w:after="0" w:line="11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are as follows (in thousands):</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20,919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18,065</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7,318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7,879</w:t>
            </w: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2,596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inventory</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45,241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35,858</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87"/>
        <w:spacing w:after="0" w:line="277" w:lineRule="auto"/>
        <w:rPr>
          <w:sz w:val="20"/>
          <w:szCs w:val="20"/>
          <w:color w:val="auto"/>
        </w:rPr>
      </w:pPr>
      <w:r>
        <w:rPr>
          <w:rFonts w:ascii="Arial" w:cs="Arial" w:eastAsia="Arial" w:hAnsi="Arial"/>
          <w:sz w:val="18"/>
          <w:szCs w:val="18"/>
          <w:color w:val="auto"/>
        </w:rPr>
        <w:t>Finished goods inventory as of September 30, 2010 includes $5.7 million of costs of product shipped to customers on contracts for which revenue was deferred until final customer acceptance.</w:t>
      </w:r>
    </w:p>
    <w:p>
      <w:pPr>
        <w:spacing w:after="0" w:line="116" w:lineRule="exact"/>
        <w:rPr>
          <w:sz w:val="20"/>
          <w:szCs w:val="20"/>
          <w:color w:val="auto"/>
        </w:rPr>
      </w:pPr>
    </w:p>
    <w:p>
      <w:pPr>
        <w:jc w:val="both"/>
        <w:ind w:firstLine="626"/>
        <w:spacing w:after="0" w:line="264" w:lineRule="auto"/>
        <w:rPr>
          <w:sz w:val="20"/>
          <w:szCs w:val="20"/>
          <w:color w:val="auto"/>
        </w:rPr>
      </w:pPr>
      <w:r>
        <w:rPr>
          <w:rFonts w:ascii="Arial" w:cs="Arial" w:eastAsia="Arial" w:hAnsi="Arial"/>
          <w:sz w:val="18"/>
          <w:szCs w:val="18"/>
          <w:color w:val="auto"/>
        </w:rPr>
        <w:t>Deferred program costs as of September 30, 2010 and March 31, 2010 primarily represent costs incurred on wind turbine development programs accounted for under contract accounting where the Company needs to achieve certain milestones or complete development programs before revenue and costs will be recognized.</w:t>
      </w:r>
    </w:p>
    <w:p>
      <w:pPr>
        <w:spacing w:after="0" w:line="27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94" w:lineRule="exact"/>
        <w:rPr>
          <w:sz w:val="20"/>
          <w:szCs w:val="20"/>
          <w:color w:val="auto"/>
        </w:rPr>
      </w:pPr>
    </w:p>
    <w:p>
      <w:pPr>
        <w:ind w:firstLine="577"/>
        <w:spacing w:after="0" w:line="277"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 of revenues for estimated warranty expense based on historical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1760" w:type="dxa"/>
            <w:vAlign w:val="bottom"/>
            <w:gridSpan w:val="3"/>
          </w:tcPr>
          <w:p>
            <w:pPr>
              <w:jc w:val="center"/>
              <w:ind w:left="627"/>
              <w:spacing w:after="0"/>
              <w:rPr>
                <w:sz w:val="20"/>
                <w:szCs w:val="20"/>
                <w:color w:val="auto"/>
              </w:rPr>
            </w:pPr>
            <w:r>
              <w:rPr>
                <w:rFonts w:ascii="Arial" w:cs="Arial" w:eastAsia="Arial" w:hAnsi="Arial"/>
                <w:sz w:val="14"/>
                <w:szCs w:val="14"/>
                <w:b w:val="1"/>
                <w:bCs w:val="1"/>
                <w:color w:val="auto"/>
                <w:w w:val="84"/>
              </w:rPr>
              <w:t>Six months ended</w:t>
            </w:r>
          </w:p>
        </w:tc>
        <w:tc>
          <w:tcPr>
            <w:tcW w:w="6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4"/>
                <w:szCs w:val="14"/>
                <w:b w:val="1"/>
                <w:bCs w:val="1"/>
                <w:color w:val="auto"/>
                <w:w w:val="87"/>
              </w:rPr>
              <w:t>September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27"/>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2009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$6,375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$5,325</w:t>
            </w:r>
          </w:p>
        </w:tc>
        <w:tc>
          <w:tcPr>
            <w:tcW w:w="1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$6,431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1,602</w:t>
            </w:r>
          </w:p>
        </w:tc>
        <w:tc>
          <w:tcPr>
            <w:tcW w:w="1400" w:type="dxa"/>
            <w:vAlign w:val="bottom"/>
            <w:gridSpan w:val="2"/>
          </w:tcPr>
          <w:p>
            <w:pPr>
              <w:jc w:val="right"/>
              <w:ind w:right="27"/>
              <w:spacing w:after="0"/>
              <w:rPr>
                <w:sz w:val="20"/>
                <w:szCs w:val="20"/>
                <w:color w:val="auto"/>
              </w:rPr>
            </w:pPr>
            <w:r>
              <w:rPr>
                <w:rFonts w:ascii="Arial" w:cs="Arial" w:eastAsia="Arial" w:hAnsi="Arial"/>
                <w:sz w:val="18"/>
                <w:szCs w:val="18"/>
                <w:color w:val="auto"/>
              </w:rPr>
              <w:t>4,332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2,717</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(1,430)</w:t>
            </w:r>
          </w:p>
        </w:tc>
        <w:tc>
          <w:tcPr>
            <w:tcW w:w="1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(3,389)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$7,374</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$5,497</w:t>
            </w:r>
          </w:p>
        </w:tc>
        <w:tc>
          <w:tcPr>
            <w:tcW w:w="3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8"/>
                <w:szCs w:val="18"/>
                <w:color w:val="auto"/>
              </w:rPr>
              <w:t>$7,374</w:t>
            </w: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$5,497</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55"/>
        <w:spacing w:after="0" w:line="279" w:lineRule="auto"/>
        <w:rPr>
          <w:sz w:val="20"/>
          <w:szCs w:val="20"/>
          <w:color w:val="auto"/>
        </w:rPr>
      </w:pPr>
      <w:r>
        <w:rPr>
          <w:rFonts w:ascii="Arial" w:cs="Arial" w:eastAsia="Arial" w:hAnsi="Arial"/>
          <w:sz w:val="17"/>
          <w:szCs w:val="17"/>
          <w:color w:val="auto"/>
        </w:rPr>
        <w:t>The Company recorded income tax expense of $8.6 million and $15.9 million for the three and six months ended September 30, 2010, respectively, and $5.3 million and $8.2 million for the three and six months ended September 30, 2009, respectively, related primarily to income generated in foreign jurisdictions. The Company has provided a valuation allowance against all deferred tax assets in the U.S. as it is more likely than not that its U.S. deferred tax assets are not currently realizable due to the net operating losses incurred by the Company in the U.S. since its inception.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jc w:val="both"/>
        <w:ind w:firstLine="531"/>
        <w:spacing w:after="0" w:line="312" w:lineRule="auto"/>
        <w:rPr>
          <w:sz w:val="20"/>
          <w:szCs w:val="20"/>
          <w:color w:val="auto"/>
        </w:rPr>
      </w:pPr>
      <w:r>
        <w:rPr>
          <w:rFonts w:ascii="Arial" w:cs="Arial" w:eastAsia="Arial" w:hAnsi="Arial"/>
          <w:sz w:val="16"/>
          <w:szCs w:val="16"/>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93" w:lineRule="exact"/>
        <w:rPr>
          <w:sz w:val="20"/>
          <w:szCs w:val="20"/>
          <w:color w:val="auto"/>
        </w:rPr>
      </w:pPr>
    </w:p>
    <w:p>
      <w:pPr>
        <w:jc w:val="both"/>
        <w:ind w:firstLine="461"/>
        <w:spacing w:after="0" w:line="279" w:lineRule="auto"/>
        <w:rPr>
          <w:sz w:val="20"/>
          <w:szCs w:val="20"/>
          <w:color w:val="auto"/>
        </w:rPr>
      </w:pPr>
      <w:r>
        <w:rPr>
          <w:rFonts w:ascii="Arial" w:cs="Arial" w:eastAsia="Arial" w:hAnsi="Arial"/>
          <w:sz w:val="17"/>
          <w:szCs w:val="17"/>
          <w:color w:val="auto"/>
        </w:rPr>
        <w:t>As of September 30, 2010, the Company had five performance bonds on behalf of its AMSC Windtec and its wholly-owned subsidiary, Suzhou AMSC Superconductor Co. Ltd (“AMSC China”), in support of customer contracts to guarantee supply of core components and software. The total value of the outstanding performance bonds is $2.0 million expiring between December 31, 2010 and March 31, 2014. In the event that the payment is made in accordance with the requirements of any of these performance bonds, the Company would record the payment as an offset to revenue.</w:t>
      </w:r>
    </w:p>
    <w:p>
      <w:pPr>
        <w:spacing w:after="0" w:line="117" w:lineRule="exact"/>
        <w:rPr>
          <w:sz w:val="20"/>
          <w:szCs w:val="20"/>
          <w:color w:val="auto"/>
        </w:rPr>
      </w:pPr>
    </w:p>
    <w:p>
      <w:pPr>
        <w:jc w:val="both"/>
        <w:ind w:firstLine="473"/>
        <w:spacing w:after="0" w:line="264" w:lineRule="auto"/>
        <w:rPr>
          <w:sz w:val="20"/>
          <w:szCs w:val="20"/>
          <w:color w:val="auto"/>
        </w:rPr>
      </w:pPr>
      <w:r>
        <w:rPr>
          <w:rFonts w:ascii="Arial" w:cs="Arial" w:eastAsia="Arial" w:hAnsi="Arial"/>
          <w:sz w:val="18"/>
          <w:szCs w:val="18"/>
          <w:color w:val="auto"/>
        </w:rPr>
        <w:t>At September 30, 2010 and March 31, 2010, the Company had $5.5 million and $5.7 million, respectively, of restricted cash included in current assets, which includes the restricted cash securing the AMSC Windtec performance bonds noted above. The Company also has an additional $3.5 million in bank guarantees and letters of credit supported by unsecured lines of credit.</w:t>
      </w:r>
    </w:p>
    <w:p>
      <w:pPr>
        <w:spacing w:after="0" w:line="127" w:lineRule="exact"/>
        <w:rPr>
          <w:sz w:val="20"/>
          <w:szCs w:val="20"/>
          <w:color w:val="auto"/>
        </w:rPr>
      </w:pPr>
    </w:p>
    <w:p>
      <w:pPr>
        <w:jc w:val="both"/>
        <w:ind w:right="20" w:firstLine="474"/>
        <w:spacing w:after="0" w:line="277" w:lineRule="auto"/>
        <w:rPr>
          <w:sz w:val="20"/>
          <w:szCs w:val="20"/>
          <w:color w:val="auto"/>
        </w:rPr>
      </w:pPr>
      <w:r>
        <w:rPr>
          <w:rFonts w:ascii="Arial" w:cs="Arial" w:eastAsia="Arial" w:hAnsi="Arial"/>
          <w:sz w:val="18"/>
          <w:szCs w:val="18"/>
          <w:color w:val="auto"/>
        </w:rPr>
        <w:t>The Company also has unused, unsecured lines of credit consisting of CNY 11.9 million (approximately $1.8 million) and €2.3 million (approximately $3.1 million) as of September 30, 2010.</w:t>
      </w:r>
    </w:p>
    <w:p>
      <w:pPr>
        <w:spacing w:after="0" w:line="302"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Cost-Sharing Arrangements</w:t>
      </w:r>
    </w:p>
    <w:p>
      <w:pPr>
        <w:spacing w:after="0" w:line="121"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4"/>
          </w:tcPr>
          <w:p>
            <w:pPr>
              <w:jc w:val="center"/>
              <w:ind w:left="161"/>
              <w:spacing w:after="0"/>
              <w:rPr>
                <w:sz w:val="20"/>
                <w:szCs w:val="20"/>
                <w:color w:val="auto"/>
              </w:rPr>
            </w:pPr>
            <w:r>
              <w:rPr>
                <w:rFonts w:ascii="Arial" w:cs="Arial" w:eastAsia="Arial" w:hAnsi="Arial"/>
                <w:sz w:val="14"/>
                <w:szCs w:val="14"/>
                <w:b w:val="1"/>
                <w:bCs w:val="1"/>
                <w:color w:val="auto"/>
                <w:w w:val="84"/>
              </w:rPr>
              <w:t>Six months ended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76"/>
              </w:rPr>
              <w:t>2009</w:t>
            </w:r>
          </w:p>
        </w:tc>
        <w:tc>
          <w:tcPr>
            <w:tcW w:w="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660" w:type="dxa"/>
            <w:vAlign w:val="bottom"/>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2,475</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R&amp;D expenditures offset by cost sharing funding received</w:t>
            </w:r>
          </w:p>
        </w:tc>
        <w:tc>
          <w:tcPr>
            <w:tcW w:w="66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 received</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2010, total funding received to date under these agreements was $30.2 million.</w:t>
      </w:r>
    </w:p>
    <w:p>
      <w:pPr>
        <w:spacing w:after="0" w:line="24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90" w:lineRule="exact"/>
        <w:rPr>
          <w:sz w:val="20"/>
          <w:szCs w:val="20"/>
          <w:color w:val="auto"/>
        </w:rPr>
      </w:pPr>
    </w:p>
    <w:p>
      <w:pPr>
        <w:jc w:val="both"/>
        <w:ind w:firstLine="463"/>
        <w:spacing w:after="0" w:line="264" w:lineRule="auto"/>
        <w:rPr>
          <w:sz w:val="20"/>
          <w:szCs w:val="20"/>
          <w:color w:val="auto"/>
        </w:rPr>
      </w:pPr>
      <w:r>
        <w:rPr>
          <w:rFonts w:ascii="Arial" w:cs="Arial" w:eastAsia="Arial" w:hAnsi="Arial"/>
          <w:sz w:val="18"/>
          <w:szCs w:val="18"/>
          <w:color w:val="auto"/>
        </w:rPr>
        <w:t>On January 5, 2007, the Company acquired AMSC Windtec, a corporation incorporated according to the laws of Austria. AMSC Windtec develops and sells electrical systems for wind turbines. AMSC Windtec also provides technology transfer for the manufacturing of wind turbines; documentation services; and training and support regarding the assembly, installation, commissioning, and service of wind turbines.</w:t>
      </w:r>
    </w:p>
    <w:p>
      <w:pPr>
        <w:spacing w:after="0" w:line="46" w:lineRule="exact"/>
        <w:rPr>
          <w:sz w:val="20"/>
          <w:szCs w:val="20"/>
          <w:color w:val="auto"/>
        </w:rPr>
      </w:pPr>
    </w:p>
    <w:p>
      <w:pPr>
        <w:jc w:val="both"/>
        <w:ind w:firstLine="617"/>
        <w:spacing w:after="0" w:line="255" w:lineRule="auto"/>
        <w:rPr>
          <w:sz w:val="20"/>
          <w:szCs w:val="20"/>
          <w:color w:val="auto"/>
        </w:rPr>
      </w:pPr>
      <w:r>
        <w:rPr>
          <w:rFonts w:ascii="Arial" w:cs="Arial" w:eastAsia="Arial" w:hAnsi="Arial"/>
          <w:sz w:val="18"/>
          <w:szCs w:val="18"/>
          <w:color w:val="auto"/>
        </w:rPr>
        <w:t>The acquisition agreement included an earn-out provision for the issuance of up to an additional 1,400,000 shares of common stock upon AMSC Windtec’s achievement of specified revenue objectives during the first four fiscal years following closing of the acquisition. During the six months ended September 30, 2010, the Company recorded contingent consideration of $10.0 million to Goodwill and Additional paid-in capital representing 350,000 shares earned. These 350,000 shares are expected to be issued in the first quarter of the fiscal year ending March 31, 2012. As of September 30, 2010, the Company has recorded contingent consideration up to the maximum amount of shares that could be earned under the agreement. The carrying amount of goodwill at September 30, 2010 and March 31, 2010 was $47.5 million and $36.7 million, respectively. The goodwill activity for the six months ended September 30, 2010 is as follows (in thousands):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2010</w:t>
            </w:r>
          </w:p>
        </w:tc>
        <w:tc>
          <w:tcPr>
            <w:tcW w:w="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117" w:lineRule="exact"/>
        <w:rPr>
          <w:sz w:val="20"/>
          <w:szCs w:val="20"/>
          <w:color w:val="auto"/>
        </w:rPr>
      </w:pPr>
    </w:p>
    <w:p>
      <w:pPr>
        <w:jc w:val="both"/>
        <w:ind w:firstLine="675"/>
        <w:spacing w:after="0" w:line="276" w:lineRule="auto"/>
        <w:rPr>
          <w:sz w:val="20"/>
          <w:szCs w:val="20"/>
          <w:color w:val="auto"/>
        </w:rPr>
      </w:pPr>
      <w:r>
        <w:rPr>
          <w:rFonts w:ascii="Arial" w:cs="Arial" w:eastAsia="Arial" w:hAnsi="Arial"/>
          <w:sz w:val="17"/>
          <w:szCs w:val="17"/>
          <w:color w:val="auto"/>
        </w:rPr>
        <w:t>On October 13, 2009, the Company made a minority investment in Tres Amigas LLC, (“Tres Amigas”), a merchant transmission company, for $1.8 million. Consideration for the investment was $0.8 million in cash and $1.0 million in AMSC common stock. The investment was recorded under the equity method of accounting and is included in other assets on the condensed consolidated balance sheet. The Company’s minority interest in the losses of Tres Amigas are included in other income (expense), net, on the condensed consolidated statements of income and were immaterial for the three and six months ended September 30, 2010. The carrying value of the investment at September 30, 2010 was $1.4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90" w:lineRule="exact"/>
        <w:rPr>
          <w:sz w:val="20"/>
          <w:szCs w:val="20"/>
          <w:color w:val="auto"/>
        </w:rPr>
      </w:pPr>
    </w:p>
    <w:p>
      <w:pPr>
        <w:jc w:val="both"/>
        <w:ind w:firstLine="477"/>
        <w:spacing w:after="0" w:line="276" w:lineRule="auto"/>
        <w:rPr>
          <w:sz w:val="20"/>
          <w:szCs w:val="20"/>
          <w:color w:val="auto"/>
        </w:rPr>
      </w:pPr>
      <w:r>
        <w:rPr>
          <w:rFonts w:ascii="Arial" w:cs="Arial" w:eastAsia="Arial" w:hAnsi="Arial"/>
          <w:sz w:val="17"/>
          <w:szCs w:val="17"/>
          <w:color w:val="auto"/>
        </w:rPr>
        <w:t>On August 12, 2010, the Company acquired (through AMSC Windtec), a 25 percent ownership position in Blade Dynamics Ltd., (“Blade Dynamics”), a designer and manufacturer of advanced wind turbine blades based on proprietary materials and structural technologies, for $8 million in cash. The investment was recorded under the equity method of accounting and is included in other assets on the condensed consolidated balance sheet. The Company’s minority interest in net losses of Blade Dynamics are included in other income (expense), net, on the condensed consolidated statements of income. The net investment activity for the six months ended September 30, 2010 is as follows (in thousands):</w:t>
      </w:r>
    </w:p>
    <w:p>
      <w:pPr>
        <w:spacing w:after="0" w:line="268"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 of minority investment</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Minority interest in net losses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Balance at September 30, 2010</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9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7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AMSC Power Systems business segment produces a broad range of products to increase electrical grid capacity and reliability, supplies electrical systems used in wind turbines, provides power electronic products that interconnect wind farms and solar power plants to the power grid, licenses proprietary wind turbine designs to manufacturers of such systems, provides consulting services to the wind industry, and offers products that enhance power quality for industrial operations.</w:t>
      </w:r>
    </w:p>
    <w:p>
      <w:pPr>
        <w:spacing w:after="0" w:line="133" w:lineRule="exact"/>
        <w:rPr>
          <w:sz w:val="20"/>
          <w:szCs w:val="20"/>
          <w:color w:val="auto"/>
        </w:rPr>
      </w:pPr>
    </w:p>
    <w:p>
      <w:pPr>
        <w:jc w:val="both"/>
        <w:ind w:firstLine="825"/>
        <w:spacing w:after="0" w:line="277" w:lineRule="auto"/>
        <w:rPr>
          <w:sz w:val="20"/>
          <w:szCs w:val="20"/>
          <w:color w:val="auto"/>
        </w:rPr>
      </w:pPr>
      <w:r>
        <w:rPr>
          <w:rFonts w:ascii="Arial" w:cs="Arial" w:eastAsia="Arial" w:hAnsi="Arial"/>
          <w:sz w:val="18"/>
          <w:szCs w:val="18"/>
          <w:color w:val="auto"/>
        </w:rPr>
        <w:t>The AMSC Superconductors business segment manufactures high temperature superconductor (HTS) wire and coils; designs and develops superconductor products, such as power cables, fault current limiters and motors; and manages large-scale superconductor projects.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232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4"/>
                <w:szCs w:val="14"/>
                <w:b w:val="1"/>
                <w:bCs w:val="1"/>
                <w:color w:val="auto"/>
                <w:w w:val="85"/>
              </w:rPr>
              <w:t>September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2009</w:t>
            </w:r>
          </w:p>
        </w:tc>
        <w:tc>
          <w:tcPr>
            <w:tcW w:w="132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auto"/>
              </w:rPr>
              <w:t>2010</w:t>
            </w:r>
          </w:p>
        </w:tc>
        <w:tc>
          <w:tcPr>
            <w:tcW w:w="1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$98,540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$71,791</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$193,468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2,881</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5,271</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$101,529</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5"/>
              </w:rPr>
              <w:t>$74,672</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8"/>
                <w:szCs w:val="18"/>
                <w:color w:val="auto"/>
              </w:rPr>
              <w:t>$198,739</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2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232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4"/>
                <w:szCs w:val="14"/>
                <w:b w:val="1"/>
                <w:bCs w:val="1"/>
                <w:color w:val="auto"/>
                <w:w w:val="85"/>
              </w:rPr>
              <w:t>September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0" w:type="dxa"/>
            <w:vAlign w:val="bottom"/>
          </w:tcPr>
          <w:p>
            <w:pPr>
              <w:jc w:val="right"/>
              <w:ind w:right="306"/>
              <w:spacing w:after="0"/>
              <w:rPr>
                <w:sz w:val="20"/>
                <w:szCs w:val="20"/>
                <w:color w:val="auto"/>
              </w:rPr>
            </w:pPr>
            <w:r>
              <w:rPr>
                <w:rFonts w:ascii="Arial" w:cs="Arial" w:eastAsia="Arial" w:hAnsi="Arial"/>
                <w:sz w:val="14"/>
                <w:szCs w:val="14"/>
                <w:b w:val="1"/>
                <w:bCs w:val="1"/>
                <w:color w:val="auto"/>
              </w:rPr>
              <w:t>2010</w:t>
            </w:r>
          </w:p>
        </w:tc>
        <w:tc>
          <w:tcPr>
            <w:tcW w:w="1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income:</w:t>
            </w: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$26,842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$19,866</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$52,327</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Unallocated corporate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$15,945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5"/>
              </w:rPr>
              <w:t>$10,330</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$32,025</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7"/>
          <w:szCs w:val="17"/>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Unallocated corporate expenses include stock-based compensation expense of $4.3 million and $3.9 million for the three months ended September 30, 2010 and 2009, respectively, and $7.8 million and $6.9 million for the six months ended September 30, 2010 and 2009, respectively. Unallocated corporate expenses for the three and six months ended September 30, 2009 included $0.1 million and $0.5 million, respectively, of restructuring charges related primarily to the closure of the Company’s facility in Westborough, Massachusetts.</w:t>
      </w:r>
    </w:p>
    <w:p>
      <w:pPr>
        <w:spacing w:after="0" w:line="124"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7"/>
          <w:szCs w:val="17"/>
          <w:color w:val="auto"/>
        </w:rPr>
        <w:t>For the three and six months ended September 30, 2010, a substantial portion of the Company’s revenues was derived from one customer: Sinovel Wind Co., Ltd., a manufacturer of wind turbines based in China. Sales to Sinovel represented 79% and 76% of total revenues for the three and six months ended September 30, 2010, respectively, compared to 76% and 65% for the three and six months ended September 30, 2009, respectively.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8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2010</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256,790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179,873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AMSC Superconductors</w:t>
            </w:r>
          </w:p>
        </w:tc>
        <w:tc>
          <w:tcPr>
            <w:tcW w:w="20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45,547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32,978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162,898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187,333</w:t>
            </w: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465,235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400,184</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under the caption “Risk Factors” in Part II. Item 1A and Part 1. Item 1A of our Form 10-K for the fiscal year ended March 31, 2010,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6"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American Superconductor and design, Revolutionizing the Way the World Uses Electricity, Amperium, AMSC, Powered by AMSC, D-VAR, dSVC, FaultBlocker, PowerModule, PQ-IVR, SolarTie,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Quarterly Report on Form 10-Q are the property of their respective 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4" w:lineRule="exact"/>
        <w:rPr>
          <w:sz w:val="20"/>
          <w:szCs w:val="20"/>
          <w:color w:val="auto"/>
        </w:rPr>
      </w:pPr>
    </w:p>
    <w:p>
      <w:pPr>
        <w:jc w:val="both"/>
        <w:ind w:firstLine="524"/>
        <w:spacing w:after="0" w:line="273" w:lineRule="auto"/>
        <w:rPr>
          <w:sz w:val="20"/>
          <w:szCs w:val="20"/>
          <w:color w:val="auto"/>
        </w:rPr>
      </w:pPr>
      <w:r>
        <w:rPr>
          <w:rFonts w:ascii="Arial" w:cs="Arial" w:eastAsia="Arial" w:hAnsi="Arial"/>
          <w:sz w:val="17"/>
          <w:szCs w:val="17"/>
          <w:color w:val="auto"/>
        </w:rPr>
        <w:t>American Superconductor Corporation was founded in 1987. We offer an array of proprietary technologies and solutions spanning the electric power infrastructure – from generation to delivery to end use. Our company is a leader in renewable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43"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7"/>
          <w:szCs w:val="17"/>
          <w:color w:val="auto"/>
        </w:rPr>
        <w:t>Our fiscal year begins on April 1 and ends on March 31. This document refers to fiscal 2010, which is defined as the period beginning on April 1, 2010 and concluding on March 31, 2011. The second quarter of fiscal 2010 began on July 1, 2010 and concluded on September 30, 2010.</w:t>
      </w:r>
    </w:p>
    <w:p>
      <w:pPr>
        <w:spacing w:after="0" w:line="11" w:lineRule="exact"/>
        <w:rPr>
          <w:sz w:val="20"/>
          <w:szCs w:val="20"/>
          <w:color w:val="auto"/>
        </w:rPr>
      </w:pPr>
    </w:p>
    <w:p>
      <w:pPr>
        <w:jc w:val="both"/>
        <w:ind w:firstLine="558"/>
        <w:spacing w:after="0" w:line="272" w:lineRule="auto"/>
        <w:rPr>
          <w:sz w:val="20"/>
          <w:szCs w:val="20"/>
          <w:color w:val="auto"/>
        </w:rPr>
      </w:pPr>
      <w:r>
        <w:rPr>
          <w:rFonts w:ascii="Arial" w:cs="Arial" w:eastAsia="Arial" w:hAnsi="Arial"/>
          <w:sz w:val="17"/>
          <w:szCs w:val="17"/>
          <w:color w:val="auto"/>
        </w:rPr>
        <w:t>Our revenues are primarily derived from our AMSC Power Systems business unit, which designs and licenses wind turbines and provides electrical systems and controls for those wind turbines; provides a range of products to increase electrical grid capacity and reliability; provides power electronic products that interconnect wind farms and solar power plants to the power grid; and provides products that enhance power quality for industrial operations. Most of the products offered by AMSC Power Systems utilize our proprietary power electronic converters and enabling software. These solutions increase the quantity, quality and reliability of electric power that is produced by renewable energy sources, transmitted by electric utilities or consumed by large industrial entities. The market for these solutions continues to be strong in 2010, particularly in Asia, where the production of wind turbines and demand for wind turbine electrical systems and controls continues to increase rapidly.</w:t>
      </w:r>
    </w:p>
    <w:p>
      <w:pPr>
        <w:spacing w:after="0" w:line="43" w:lineRule="exact"/>
        <w:rPr>
          <w:sz w:val="20"/>
          <w:szCs w:val="20"/>
          <w:color w:val="auto"/>
        </w:rPr>
      </w:pPr>
    </w:p>
    <w:p>
      <w:pPr>
        <w:jc w:val="both"/>
        <w:ind w:firstLine="610"/>
        <w:spacing w:after="0" w:line="293" w:lineRule="auto"/>
        <w:rPr>
          <w:sz w:val="20"/>
          <w:szCs w:val="20"/>
          <w:color w:val="auto"/>
        </w:rPr>
      </w:pPr>
      <w:r>
        <w:rPr>
          <w:rFonts w:ascii="Arial" w:cs="Arial" w:eastAsia="Arial" w:hAnsi="Arial"/>
          <w:sz w:val="16"/>
          <w:szCs w:val="16"/>
          <w:color w:val="auto"/>
        </w:rPr>
        <w:t>Our AMSC Superconductors business unit designs and develops superconductor products, such as power cables, fault current limiters, generators, motors and degaussing systems; and it manages large-scale superconductor projects. AMSC Superconductors also manufactures the Amperium™ high temperature superconductor (HTS) wire that goes into superconductor products, providing these systems with compelling performance, efficiency, size and weight advantages compared with conventional electrical equipment. Many superconductor product demonstrations have been successfully completed to date and customer interest is increasing, particularly for superconductor power cables and superconductor wind turbine generators. While these systems have not yet been broadly commercialized, we received our first large-scale commercial wire contract in fiscal 2010.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617"/>
        <w:spacing w:after="0" w:line="264" w:lineRule="auto"/>
        <w:rPr>
          <w:sz w:val="20"/>
          <w:szCs w:val="20"/>
          <w:color w:val="auto"/>
        </w:rPr>
      </w:pPr>
      <w:r>
        <w:rPr>
          <w:rFonts w:ascii="Arial" w:cs="Arial" w:eastAsia="Arial" w:hAnsi="Arial"/>
          <w:sz w:val="18"/>
          <w:szCs w:val="18"/>
          <w:color w:val="auto"/>
        </w:rPr>
        <w:t>Our strategy for both AMSC Power Systems and AMSC Superconductors is to drive revenue growth and enhance operating results by increasing adoption of our products. We are targeting high-growth segments of the renewable energy and power grid markets with our advanced engineering capabilities, support services and power electronics and superconductor product offerings.</w:t>
      </w:r>
    </w:p>
    <w:p>
      <w:pPr>
        <w:spacing w:after="0" w:line="46" w:lineRule="exact"/>
        <w:rPr>
          <w:sz w:val="20"/>
          <w:szCs w:val="20"/>
          <w:color w:val="auto"/>
        </w:rPr>
      </w:pPr>
    </w:p>
    <w:p>
      <w:pPr>
        <w:jc w:val="both"/>
        <w:ind w:firstLine="458"/>
        <w:spacing w:after="0" w:line="276" w:lineRule="auto"/>
        <w:rPr>
          <w:sz w:val="20"/>
          <w:szCs w:val="20"/>
          <w:color w:val="auto"/>
        </w:rPr>
      </w:pPr>
      <w:r>
        <w:rPr>
          <w:rFonts w:ascii="Arial" w:cs="Arial" w:eastAsia="Arial" w:hAnsi="Arial"/>
          <w:sz w:val="17"/>
          <w:szCs w:val="17"/>
          <w:color w:val="auto"/>
        </w:rPr>
        <w:t>Our wind power products and services are marketed globally, with a particular focus on the Asia Pacific region and emerging economies where demand for local wind turbine manufacturing has been increasing significantly. Our power grid products and services have historically been marketed primarily in the United States. However, due to increasing grid interconnection requirements for renewable energy sites and rising demands for Smart Grid solutions overseas, our power grid activities and sales have increasingly become global in nature. Although we leverage strategic partnerships and reseller relationships to increase our revenue streams, we address market needs primarily with our direct sales force.</w:t>
      </w:r>
    </w:p>
    <w:p>
      <w:pPr>
        <w:spacing w:after="0" w:line="3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We currently have offices and operations in 11 countries around the world. Our Devens, Massachusetts facility serves as our corporate headquarters and our center of excellence for superconductor research, development and manufacturing. Our facilities in Wisconsin serve as our center of excellence for power electronics and controls research and development and power grid product manufacturing. Our facility in Suzhou, China serves as our center of excellence for wind turbine power electronics manufacturing. Our facility in Klagenfurt, Austria serves as our center of excellence for wind turbine design and engineering. Our other locations focus primarily on applications engineering, sales and/or field service.</w:t>
      </w:r>
    </w:p>
    <w:p>
      <w:pPr>
        <w:spacing w:after="0" w:line="37"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7"/>
          <w:szCs w:val="17"/>
          <w:color w:val="auto"/>
        </w:rPr>
        <w:t>As of September 30, 2010 and March 31, 2010, we had backlog of approximately $956 million and $588 million, respectively. The increase in backlog was primarily the result of a substantial new order received from our largest customer, Sinovel Wind Co., Ltd. (“Sinovel”). Based on this level of backlog and our pipeline of business, we believe we will be able to continue growing revenue in the remainder of fiscal 2010.</w:t>
      </w:r>
    </w:p>
    <w:p>
      <w:pPr>
        <w:spacing w:after="0" w:line="30" w:lineRule="exact"/>
        <w:rPr>
          <w:sz w:val="20"/>
          <w:szCs w:val="20"/>
          <w:color w:val="auto"/>
        </w:rPr>
      </w:pPr>
    </w:p>
    <w:p>
      <w:pPr>
        <w:jc w:val="both"/>
        <w:ind w:firstLine="545"/>
        <w:spacing w:after="0" w:line="302" w:lineRule="auto"/>
        <w:rPr>
          <w:sz w:val="20"/>
          <w:szCs w:val="20"/>
          <w:color w:val="auto"/>
        </w:rPr>
      </w:pPr>
      <w:r>
        <w:rPr>
          <w:rFonts w:ascii="Arial" w:cs="Arial" w:eastAsia="Arial" w:hAnsi="Arial"/>
          <w:sz w:val="16"/>
          <w:szCs w:val="16"/>
          <w:color w:val="auto"/>
        </w:rPr>
        <w:t>Our cash requirements depend on numerous factors, including successful completion of our product development activities, ability to commercialize our product prototypes, and the rate of customer and market adoption of our products.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7"/>
          <w:szCs w:val="17"/>
          <w:color w:val="auto"/>
        </w:rPr>
        <w:t>The preparation of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With the exception of changes to our revenue policy as described below, there were no significant changes in the second quarter of fiscal 2010 in our critical accounting policies as disclosed in our Form 10-K for fiscal 2009, which ended on March 31, 2010.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266"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 and currency options to manage the foreign currency exposures that exist as part of its ongoing business operations. We recognize all derivatives, including forward currency-exchange contracts, in the balance sheet at fair value.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We hedge a portion of our intercompany sales of inventory over a maximum period of 15 months using forward foreign exchange contracts accounted for as cash flow hedges to mitigate the impact of volatility associated with foreign currency transactions.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We do not enter into derivative instruments for trading or speculative purposes.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jc w:val="both"/>
        <w:ind w:firstLine="483"/>
        <w:spacing w:after="0" w:line="286" w:lineRule="auto"/>
        <w:rPr>
          <w:sz w:val="20"/>
          <w:szCs w:val="20"/>
          <w:color w:val="auto"/>
        </w:rPr>
      </w:pPr>
      <w:r>
        <w:rPr>
          <w:rFonts w:ascii="Arial" w:cs="Arial" w:eastAsia="Arial" w:hAnsi="Arial"/>
          <w:sz w:val="17"/>
          <w:szCs w:val="17"/>
          <w:color w:val="auto"/>
        </w:rPr>
        <w:t>In addition to cash flow hedges, we also enter into foreign currency forward exchange contracts to mitigate the impact of foreign exchange risk related to non-functional currency receivable balances in our foreign entities. We do not elect hedge accounting treatment for these hedges, consequently, changes in the fair value of these contracts are recorded within other income (expense), net, in the period which they occur.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542"/>
        <w:spacing w:after="0" w:line="276" w:lineRule="auto"/>
        <w:rPr>
          <w:sz w:val="20"/>
          <w:szCs w:val="20"/>
          <w:color w:val="auto"/>
        </w:rPr>
      </w:pPr>
      <w:r>
        <w:rPr>
          <w:rFonts w:ascii="Arial" w:cs="Arial" w:eastAsia="Arial" w:hAnsi="Arial"/>
          <w:sz w:val="17"/>
          <w:szCs w:val="17"/>
          <w:color w:val="auto"/>
        </w:rPr>
        <w:t xml:space="preserve">In October 2009, the FASB issued Accounting Standards Update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 (“VSOE”) or third-party evidence (“TPE”) of the selling prices, consideration must be allocated to the deliverables based on management’s best estimate of the selling prices. In addition, the new standard eliminates the use of the residual method of allocation.</w:t>
      </w:r>
    </w:p>
    <w:p>
      <w:pPr>
        <w:spacing w:after="0" w:line="132" w:lineRule="exact"/>
        <w:rPr>
          <w:sz w:val="20"/>
          <w:szCs w:val="20"/>
          <w:color w:val="auto"/>
        </w:rPr>
      </w:pPr>
    </w:p>
    <w:p>
      <w:pPr>
        <w:jc w:val="both"/>
        <w:ind w:firstLine="699"/>
        <w:spacing w:after="0" w:line="273" w:lineRule="auto"/>
        <w:rPr>
          <w:sz w:val="20"/>
          <w:szCs w:val="20"/>
          <w:color w:val="auto"/>
        </w:rPr>
      </w:pPr>
      <w:r>
        <w:rPr>
          <w:rFonts w:ascii="Arial" w:cs="Arial" w:eastAsia="Arial" w:hAnsi="Arial"/>
          <w:sz w:val="17"/>
          <w:szCs w:val="17"/>
          <w:color w:val="auto"/>
        </w:rPr>
        <w:t>For sales that involve the delivery of multiple elements, we allocate revenue to each undelivered element based on the element’s fair value as determined by VSOE, which is the price charged when that element is sold separately, or TPE. When VSOE and TPE are unavailable, fair value is based on our best estimate of selling price. When our estimates are used to determine fair value, management makes its estimates using reasonable and objective evidence to determine the price. We review VSOE and TPE at least annually. If we conclude we are unable to establish fair values for one or more undelivered elements within a multiple-element arrangement using VSOE we use TPE or our best estimate of the selling price for that unit of accounting, being the price at which the vendor would transact if the unit of accounting were sold by the vendor regularly on a standalone basis.</w:t>
      </w:r>
    </w:p>
    <w:p>
      <w:pPr>
        <w:spacing w:after="0" w:line="151"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8"/>
          <w:szCs w:val="18"/>
          <w:color w:val="auto"/>
        </w:rPr>
        <w:t>The new accounting standard supersedes the prior multiple element revenue arrangement accounting rules that were previously used by us. We adopted this new accounting standard on April 1, 2010 using the prospective method and the adoption did not have a material impact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September 30, 2010 compared to the three and six months ended September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Total revenues increased by 36% and 35% to $101.5 million and $198.7 million for the three and six months ended September 30, 2010, respectively, from $74.7 million and $147.7 million for the three and six months ended September 30, 2009, respectively. Our revenues are summarized as follows (in thousands):</w:t>
      </w:r>
    </w:p>
    <w:tbl>
      <w:tblPr>
        <w:tblLayout w:type="fixed"/>
        <w:tblInd w:w="4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0" w:type="dxa"/>
            <w:vAlign w:val="bottom"/>
            <w:gridSpan w:val="5"/>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25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85"/>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96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98,540</w:t>
            </w:r>
          </w:p>
        </w:tc>
        <w:tc>
          <w:tcPr>
            <w:tcW w:w="2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$71,791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$ 193,468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$ 142,487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5,271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101,529</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$74,672</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$ 198,739</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$ 147,672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8"/>
          <w:szCs w:val="18"/>
          <w:color w:val="auto"/>
        </w:rPr>
        <w:t>Revenues in our AMSC Power Systems business unit consist of revenues from wind turbine electrical systems and core components, wind turbine license and development contracts as well as D-VAR</w:t>
      </w:r>
      <w:r>
        <w:rPr>
          <w:rFonts w:ascii="Arial" w:cs="Arial" w:eastAsia="Arial" w:hAnsi="Arial"/>
          <w:sz w:val="15"/>
          <w:szCs w:val="15"/>
          <w:color w:val="auto"/>
        </w:rPr>
        <w:t>®</w:t>
      </w:r>
      <w:r>
        <w:rPr>
          <w:rFonts w:ascii="Arial" w:cs="Arial" w:eastAsia="Arial" w:hAnsi="Arial"/>
          <w:sz w:val="18"/>
          <w:szCs w:val="18"/>
          <w:color w:val="auto"/>
        </w:rPr>
        <w:t>, D-VAR RT, SVC, and PowerModule™ product sales, service contracts, and consulting arrangements. We also engineer, install and commission our products on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turnkey basis for some customers. Our AMSC Power Systems business unit accounted for 97% of total revenues for both of the three and six month periods ended September 30, 2010, compared to 96% for both of the three and six months ended September 30, 2009. Revenues in the AMSC Power Systems business unit increased 37% and 36% to $98.5 million and $193.5 million in the three and six months ended September 30, 2010, respectively, from $71.8 million and $142.5 million in the three and six months ended September 30, 2009, respectively. The increases in AMSC Power Systems business unit revenues were primarily due to higher sales of wind electrical systems and core components, primarily to customers in China. Based on the average Euro and renminbi exchange rates for the second quarter of fiscal 2010, revenues denominated in these foreign currencies translated into U.S. dollars was $0.6 million higher compared to the translation of these revenues using the average exchange rates of these currencies for the second quarter of fiscal 2009.</w:t>
      </w:r>
    </w:p>
    <w:p>
      <w:pPr>
        <w:spacing w:after="0" w:line="140"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7"/>
          <w:szCs w:val="17"/>
          <w:color w:val="auto"/>
        </w:rPr>
        <w:t>For the three and six months ended September 30, 2010, a substantial portion of our revenues was derived from one customer: Sinovel Wind Co., Ltd., a manufacturer of wind turbines based in China. Sales to Sinovel represented 79% and 76% of total revenues for the three and six months ended September 30, 2010, respectively, compared to 76% and 65% for the three and six months ended September 30, 2009, respectively.</w:t>
      </w:r>
    </w:p>
    <w:p>
      <w:pPr>
        <w:spacing w:after="0" w:line="125"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8"/>
          <w:szCs w:val="18"/>
          <w:color w:val="auto"/>
        </w:rPr>
        <w:t>On May 17, 2010, we announced an extension of our supply of core electrical components for 1.5 megawatt (MW) wind turbines to Sinovel through late 2013 under a new contract valued at approximately $445 million.</w:t>
      </w:r>
    </w:p>
    <w:p>
      <w:pPr>
        <w:spacing w:after="0" w:line="130" w:lineRule="exact"/>
        <w:rPr>
          <w:sz w:val="20"/>
          <w:szCs w:val="20"/>
          <w:color w:val="auto"/>
        </w:rPr>
      </w:pPr>
    </w:p>
    <w:p>
      <w:pPr>
        <w:jc w:val="both"/>
        <w:ind w:firstLine="692"/>
        <w:spacing w:after="0" w:line="255" w:lineRule="auto"/>
        <w:rPr>
          <w:sz w:val="20"/>
          <w:szCs w:val="20"/>
          <w:color w:val="auto"/>
        </w:rPr>
      </w:pPr>
      <w:r>
        <w:rPr>
          <w:rFonts w:ascii="Arial" w:cs="Arial" w:eastAsia="Arial" w:hAnsi="Arial"/>
          <w:sz w:val="18"/>
          <w:szCs w:val="18"/>
          <w:color w:val="auto"/>
        </w:rPr>
        <w:t>Revenues in our AMSC Superconductors business unit consist of contract revenues, sales of our Amperium™ HTS wire sales, revenues under government-sponsored electric utility projects, and other prototype development contracts. AMSC Superconductors business unit revenues are primarily recorded using the percentage-of-completion method. AMSC Superconductors business unit accounted for 3% of total revenues for both the three and six months ended September 30, 2010 respectively, compared to 4% for both the three and six months ended September 30, 2009. AMSC Superconductors business unit revenues were $3.0 million and $5.3 million in the three and six months ended September 30, 2010, respectively, from $2.9 million and $5.2 million for the three and six months ended September 30, 2009, respectively. Revenues from significant AMSC Superconductors government-funded contracts are summarized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87"/>
              </w:rPr>
              <w:t>Revenue earned for</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85"/>
              </w:rPr>
              <w:t>Revenue earned for</w:t>
            </w:r>
          </w:p>
        </w:tc>
      </w:tr>
      <w:tr>
        <w:trPr>
          <w:trHeight w:val="149"/>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center"/>
              <w:ind w:left="315"/>
              <w:spacing w:after="0" w:line="149" w:lineRule="exact"/>
              <w:rPr>
                <w:sz w:val="20"/>
                <w:szCs w:val="20"/>
                <w:color w:val="auto"/>
              </w:rPr>
            </w:pPr>
            <w:r>
              <w:rPr>
                <w:rFonts w:ascii="Arial" w:cs="Arial" w:eastAsia="Arial" w:hAnsi="Arial"/>
                <w:sz w:val="14"/>
                <w:szCs w:val="14"/>
                <w:b w:val="1"/>
                <w:bCs w:val="1"/>
                <w:color w:val="auto"/>
                <w:w w:val="86"/>
              </w:rPr>
              <w:t>the three months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center"/>
              <w:ind w:left="375"/>
              <w:spacing w:after="0" w:line="149" w:lineRule="exact"/>
              <w:rPr>
                <w:sz w:val="20"/>
                <w:szCs w:val="20"/>
                <w:color w:val="auto"/>
              </w:rPr>
            </w:pPr>
            <w:r>
              <w:rPr>
                <w:rFonts w:ascii="Arial" w:cs="Arial" w:eastAsia="Arial" w:hAnsi="Arial"/>
                <w:sz w:val="14"/>
                <w:szCs w:val="14"/>
                <w:b w:val="1"/>
                <w:bCs w:val="1"/>
                <w:color w:val="auto"/>
                <w:w w:val="84"/>
              </w:rPr>
              <w:t>the six months</w:t>
            </w:r>
          </w:p>
        </w:tc>
        <w:tc>
          <w:tcPr>
            <w:tcW w:w="74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Revenue earned</w:t>
            </w:r>
          </w:p>
        </w:tc>
        <w:tc>
          <w:tcPr>
            <w:tcW w:w="3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236"/>
              <w:spacing w:after="0"/>
              <w:rPr>
                <w:sz w:val="20"/>
                <w:szCs w:val="20"/>
                <w:color w:val="auto"/>
              </w:rPr>
            </w:pPr>
            <w:r>
              <w:rPr>
                <w:rFonts w:ascii="Arial" w:cs="Arial" w:eastAsia="Arial" w:hAnsi="Arial"/>
                <w:sz w:val="14"/>
                <w:szCs w:val="14"/>
                <w:b w:val="1"/>
                <w:bCs w:val="1"/>
                <w:color w:val="auto"/>
                <w:w w:val="85"/>
              </w:rPr>
              <w:t>ended September 30,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236"/>
              <w:spacing w:after="0"/>
              <w:rPr>
                <w:sz w:val="20"/>
                <w:szCs w:val="20"/>
                <w:color w:val="auto"/>
              </w:rPr>
            </w:pPr>
            <w:r>
              <w:rPr>
                <w:rFonts w:ascii="Arial" w:cs="Arial" w:eastAsia="Arial" w:hAnsi="Arial"/>
                <w:sz w:val="14"/>
                <w:szCs w:val="14"/>
                <w:b w:val="1"/>
                <w:bCs w:val="1"/>
                <w:color w:val="auto"/>
                <w:w w:val="85"/>
              </w:rPr>
              <w:t>ended September 30,</w:t>
            </w:r>
          </w:p>
        </w:tc>
      </w:tr>
      <w:tr>
        <w:trPr>
          <w:trHeight w:val="129"/>
        </w:trPr>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7"/>
              </w:rPr>
              <w:t>Expected total</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6"/>
              </w:rPr>
              <w:t>through</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3160" w:type="dxa"/>
            <w:vAlign w:val="bottom"/>
            <w:gridSpan w:val="2"/>
          </w:tcPr>
          <w:p>
            <w:pPr>
              <w:ind w:left="1180"/>
              <w:spacing w:after="0"/>
              <w:rPr>
                <w:sz w:val="20"/>
                <w:szCs w:val="20"/>
                <w:color w:val="auto"/>
              </w:rPr>
            </w:pPr>
            <w:r>
              <w:rPr>
                <w:rFonts w:ascii="Arial" w:cs="Arial" w:eastAsia="Arial" w:hAnsi="Arial"/>
                <w:sz w:val="14"/>
                <w:szCs w:val="14"/>
                <w:b w:val="1"/>
                <w:bCs w:val="1"/>
                <w:color w:val="auto"/>
              </w:rPr>
              <w:t>Project name</w:t>
            </w:r>
          </w:p>
        </w:tc>
        <w:tc>
          <w:tcPr>
            <w:tcW w:w="16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contract value</w:t>
            </w:r>
          </w:p>
        </w:tc>
        <w:tc>
          <w:tcPr>
            <w:tcW w:w="2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 2010</w:t>
            </w:r>
          </w:p>
        </w:tc>
        <w:tc>
          <w:tcPr>
            <w:tcW w:w="300" w:type="dxa"/>
            <w:vAlign w:val="bottom"/>
          </w:tcPr>
          <w:p>
            <w:pPr>
              <w:spacing w:after="0"/>
              <w:rPr>
                <w:sz w:val="14"/>
                <w:szCs w:val="14"/>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356"/>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2009</w:t>
            </w:r>
          </w:p>
        </w:tc>
      </w:tr>
      <w:tr>
        <w:trPr>
          <w:trHeight w:val="129"/>
        </w:trPr>
        <w:tc>
          <w:tcPr>
            <w:tcW w:w="3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35"/>
        </w:trPr>
        <w:tc>
          <w:tcPr>
            <w:tcW w:w="31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HYDRA</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24,908</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10,082</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388</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565</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509</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829</w:t>
            </w:r>
          </w:p>
        </w:tc>
      </w:tr>
      <w:tr>
        <w:trPr>
          <w:trHeight w:val="135"/>
        </w:trPr>
        <w:tc>
          <w:tcPr>
            <w:tcW w:w="316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LIPA I and II</w:t>
            </w:r>
          </w:p>
        </w:tc>
        <w:tc>
          <w:tcPr>
            <w:tcW w:w="160" w:type="dxa"/>
            <w:vAlign w:val="bottom"/>
          </w:tcPr>
          <w:p>
            <w:pPr>
              <w:spacing w:after="0"/>
              <w:rPr>
                <w:sz w:val="11"/>
                <w:szCs w:val="11"/>
                <w:color w:val="auto"/>
              </w:rPr>
            </w:pPr>
          </w:p>
        </w:tc>
        <w:tc>
          <w:tcPr>
            <w:tcW w:w="1000" w:type="dxa"/>
            <w:vAlign w:val="bottom"/>
          </w:tcPr>
          <w:p>
            <w:pPr>
              <w:jc w:val="right"/>
              <w:ind w:right="56"/>
              <w:spacing w:after="0" w:line="135" w:lineRule="exact"/>
              <w:rPr>
                <w:sz w:val="20"/>
                <w:szCs w:val="20"/>
                <w:color w:val="auto"/>
              </w:rPr>
            </w:pPr>
            <w:r>
              <w:rPr>
                <w:rFonts w:ascii="Arial" w:cs="Arial" w:eastAsia="Arial" w:hAnsi="Arial"/>
                <w:sz w:val="13"/>
                <w:szCs w:val="13"/>
                <w:color w:val="auto"/>
              </w:rPr>
              <w:t>40,141</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56"/>
              <w:spacing w:after="0" w:line="135" w:lineRule="exact"/>
              <w:rPr>
                <w:sz w:val="20"/>
                <w:szCs w:val="20"/>
                <w:color w:val="auto"/>
              </w:rPr>
            </w:pPr>
            <w:r>
              <w:rPr>
                <w:rFonts w:ascii="Arial" w:cs="Arial" w:eastAsia="Arial" w:hAnsi="Arial"/>
                <w:sz w:val="13"/>
                <w:szCs w:val="13"/>
                <w:color w:val="auto"/>
              </w:rPr>
              <w:t>36,499</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1,366</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jc w:val="right"/>
              <w:ind w:right="56"/>
              <w:spacing w:after="0" w:line="135" w:lineRule="exact"/>
              <w:rPr>
                <w:sz w:val="20"/>
                <w:szCs w:val="20"/>
                <w:color w:val="auto"/>
              </w:rPr>
            </w:pPr>
            <w:r>
              <w:rPr>
                <w:rFonts w:ascii="Arial" w:cs="Arial" w:eastAsia="Arial" w:hAnsi="Arial"/>
                <w:sz w:val="13"/>
                <w:szCs w:val="13"/>
                <w:color w:val="auto"/>
              </w:rPr>
              <w:t>932</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right"/>
              <w:ind w:right="35"/>
              <w:spacing w:after="0" w:line="135" w:lineRule="exact"/>
              <w:rPr>
                <w:sz w:val="20"/>
                <w:szCs w:val="20"/>
                <w:color w:val="auto"/>
              </w:rPr>
            </w:pPr>
            <w:r>
              <w:rPr>
                <w:rFonts w:ascii="Arial" w:cs="Arial" w:eastAsia="Arial" w:hAnsi="Arial"/>
                <w:sz w:val="13"/>
                <w:szCs w:val="13"/>
                <w:color w:val="auto"/>
              </w:rPr>
              <w:t>2,148</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1,639</w:t>
            </w:r>
          </w:p>
        </w:tc>
      </w:tr>
      <w:tr>
        <w:trPr>
          <w:trHeight w:val="135"/>
        </w:trPr>
        <w:tc>
          <w:tcPr>
            <w:tcW w:w="31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DOE-FCL</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7,898</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5,393</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416</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515</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987</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577</w:t>
            </w:r>
          </w:p>
        </w:tc>
      </w:tr>
      <w:tr>
        <w:trPr>
          <w:trHeight w:val="142"/>
        </w:trPr>
        <w:tc>
          <w:tcPr>
            <w:tcW w:w="3120" w:type="dxa"/>
            <w:vAlign w:val="bottom"/>
          </w:tcPr>
          <w:p>
            <w:pPr>
              <w:ind w:left="220"/>
              <w:spacing w:after="0" w:line="135" w:lineRule="exact"/>
              <w:rPr>
                <w:sz w:val="20"/>
                <w:szCs w:val="20"/>
                <w:color w:val="auto"/>
              </w:rPr>
            </w:pPr>
            <w:r>
              <w:rPr>
                <w:rFonts w:ascii="Arial" w:cs="Arial" w:eastAsia="Arial" w:hAnsi="Arial"/>
                <w:sz w:val="13"/>
                <w:szCs w:val="13"/>
                <w:color w:val="auto"/>
              </w:rPr>
              <w:t>NAVSEA Motor Study</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3"/>
                <w:szCs w:val="13"/>
                <w:color w:val="auto"/>
              </w:rPr>
              <w:t>6,511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3"/>
                <w:szCs w:val="13"/>
                <w:color w:val="auto"/>
              </w:rPr>
              <w:t>6,361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
              <w:spacing w:after="0" w:line="135" w:lineRule="exact"/>
              <w:rPr>
                <w:sz w:val="20"/>
                <w:szCs w:val="20"/>
                <w:color w:val="auto"/>
              </w:rPr>
            </w:pPr>
            <w:r>
              <w:rPr>
                <w:rFonts w:ascii="Arial" w:cs="Arial" w:eastAsia="Arial" w:hAnsi="Arial"/>
                <w:sz w:val="13"/>
                <w:szCs w:val="13"/>
                <w:color w:val="auto"/>
              </w:rPr>
              <w:t>42</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3"/>
                <w:szCs w:val="13"/>
                <w:color w:val="auto"/>
              </w:rPr>
              <w:t>59</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
              <w:spacing w:after="0" w:line="135" w:lineRule="exact"/>
              <w:rPr>
                <w:sz w:val="20"/>
                <w:szCs w:val="20"/>
                <w:color w:val="auto"/>
              </w:rPr>
            </w:pPr>
            <w:r>
              <w:rPr>
                <w:rFonts w:ascii="Arial" w:cs="Arial" w:eastAsia="Arial" w:hAnsi="Arial"/>
                <w:sz w:val="13"/>
                <w:szCs w:val="13"/>
                <w:color w:val="auto"/>
              </w:rPr>
              <w:t>149</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3"/>
                <w:szCs w:val="13"/>
                <w:color w:val="auto"/>
              </w:rPr>
              <w:t>74</w:t>
            </w:r>
          </w:p>
        </w:tc>
      </w:tr>
      <w:tr>
        <w:trPr>
          <w:trHeight w:val="135"/>
        </w:trPr>
        <w:tc>
          <w:tcPr>
            <w:tcW w:w="3160" w:type="dxa"/>
            <w:vAlign w:val="bottom"/>
            <w:gridSpan w:val="2"/>
            <w:shd w:val="clear" w:color="auto" w:fill="CCEEFF"/>
          </w:tcPr>
          <w:p>
            <w:pPr>
              <w:ind w:left="2860"/>
              <w:spacing w:after="0" w:line="135" w:lineRule="exact"/>
              <w:rPr>
                <w:sz w:val="20"/>
                <w:szCs w:val="20"/>
                <w:color w:val="auto"/>
              </w:rPr>
            </w:pPr>
            <w:r>
              <w:rPr>
                <w:rFonts w:ascii="Arial" w:cs="Arial" w:eastAsia="Arial" w:hAnsi="Arial"/>
                <w:sz w:val="13"/>
                <w:szCs w:val="13"/>
                <w:color w:val="auto"/>
                <w:w w:val="96"/>
              </w:rPr>
              <w:t>Total</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79,458</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58,335</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2,212</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2,071</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3,793</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3,119</w:t>
            </w:r>
          </w:p>
        </w:tc>
      </w:tr>
      <w:tr>
        <w:trPr>
          <w:trHeight w:val="20"/>
        </w:trPr>
        <w:tc>
          <w:tcPr>
            <w:tcW w:w="3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782"/>
        <w:spacing w:after="0" w:line="277" w:lineRule="auto"/>
        <w:rPr>
          <w:sz w:val="20"/>
          <w:szCs w:val="20"/>
          <w:color w:val="auto"/>
        </w:rPr>
      </w:pPr>
      <w:r>
        <w:rPr>
          <w:rFonts w:ascii="Arial" w:cs="Arial" w:eastAsia="Arial" w:hAnsi="Arial"/>
          <w:sz w:val="18"/>
          <w:szCs w:val="18"/>
          <w:color w:val="auto"/>
        </w:rPr>
        <w:t>These significant projects represented 74% and 72% of AMSC Superconductors business unit revenues for the three and six months ended September 30, 2010, respectively, compared to 72% and 60% for the three and six months ended September 30, 2009, respectively.</w:t>
      </w:r>
    </w:p>
    <w:p>
      <w:pPr>
        <w:spacing w:after="0" w:line="130" w:lineRule="exact"/>
        <w:rPr>
          <w:sz w:val="20"/>
          <w:szCs w:val="20"/>
          <w:color w:val="auto"/>
        </w:rPr>
      </w:pPr>
    </w:p>
    <w:p>
      <w:pPr>
        <w:jc w:val="both"/>
        <w:ind w:firstLine="507"/>
        <w:spacing w:after="0" w:line="255" w:lineRule="auto"/>
        <w:rPr>
          <w:sz w:val="20"/>
          <w:szCs w:val="20"/>
          <w:color w:val="auto"/>
        </w:rPr>
      </w:pPr>
      <w:r>
        <w:rPr>
          <w:rFonts w:ascii="Arial" w:cs="Arial" w:eastAsia="Arial" w:hAnsi="Arial"/>
          <w:sz w:val="18"/>
          <w:szCs w:val="18"/>
          <w:color w:val="auto"/>
        </w:rPr>
        <w:t>Project HYDRA is a contract with Consolidated Edison, Inc. which is being partially funded by the U.S. Department of Homeland Security (“DHS”). DHS is expected to invest up to a total of $24.9 million in the development of a new high temperature superconductor power grid technology called FaultBlocker™ cable systems. FaultBlocker cable systems are designed to utilize customized Amperium™ HTS wires, superconductor power cables and ancillary controls to deliver more power through the grid while also being able to suppress power surges that can disrupt service. Of the total $24.9 million in funding expected from DHS, it has committed funding of $12.6 million to us as of September 30, 2010. We recognized $0.4 million in revenues related to the Project HYDRA during the second quarter of fiscal 2010, compared to $0.6 million in the same period of fiscal 2009. Consolidated Edison and Southwire Company are subcontractors to us on this project.</w:t>
      </w:r>
    </w:p>
    <w:p>
      <w:pPr>
        <w:spacing w:after="0" w:line="149" w:lineRule="exact"/>
        <w:rPr>
          <w:sz w:val="20"/>
          <w:szCs w:val="20"/>
          <w:color w:val="auto"/>
        </w:rPr>
      </w:pPr>
    </w:p>
    <w:p>
      <w:pPr>
        <w:jc w:val="both"/>
        <w:ind w:firstLine="655"/>
        <w:spacing w:after="0" w:line="257" w:lineRule="auto"/>
        <w:rPr>
          <w:sz w:val="20"/>
          <w:szCs w:val="20"/>
          <w:color w:val="auto"/>
        </w:rPr>
      </w:pPr>
      <w:r>
        <w:rPr>
          <w:rFonts w:ascii="Arial" w:cs="Arial" w:eastAsia="Arial" w:hAnsi="Arial"/>
          <w:sz w:val="18"/>
          <w:szCs w:val="18"/>
          <w:color w:val="auto"/>
        </w:rPr>
        <w:t>LIPA I, completed in the first quarter of fiscal 2009, was a project to install an HTS power cable system at transmission voltage using our first generation HTS wire for the Long Island Power Authority. LIPA II is a project to install an HTS power cable utilizing our second generation HTS wire for the Long Island Power Authority. The increase in LIPA project revenues is related to a new phase of the project being underway. DOE-FCL is a project to develop and demonstrate a transmission voltage SuperLimiter fault current limiter (“FCL”). The NAVSEA Motor Study is a project designed to test the 36.5 MW superconductor motor developed for the U.S. Navy.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Cost-sharing funding</w:t>
      </w:r>
    </w:p>
    <w:p>
      <w:pPr>
        <w:spacing w:after="0" w:line="90" w:lineRule="exact"/>
        <w:rPr>
          <w:sz w:val="20"/>
          <w:szCs w:val="20"/>
          <w:color w:val="auto"/>
        </w:rPr>
      </w:pPr>
    </w:p>
    <w:p>
      <w:pPr>
        <w:jc w:val="both"/>
        <w:ind w:firstLine="549"/>
        <w:spacing w:after="0" w:line="253" w:lineRule="auto"/>
        <w:rPr>
          <w:sz w:val="20"/>
          <w:szCs w:val="20"/>
          <w:color w:val="auto"/>
        </w:rPr>
      </w:pPr>
      <w:r>
        <w:rPr>
          <w:rFonts w:ascii="Arial" w:cs="Arial" w:eastAsia="Arial" w:hAnsi="Arial"/>
          <w:sz w:val="18"/>
          <w:szCs w:val="18"/>
          <w:color w:val="auto"/>
        </w:rPr>
        <w:t>In addition to reported revenues, we also received funding of $0.3 million and $0.5 million for the three and six months ended September 30, 2010, respectively, under U.S. government cost-sharing agreements with the U.S. Air Force and the Department of Energy, compared to $0.4 million and $1.2 million for the three and six months ended September 30, 2009, respectively. The decrease in cost-sharing funding is primarily due to the completion of the NIST Advanced Technology Program. All of our cost-sharing agreements provide funding in support of development work on our Amperium™ HTS wires 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revenues. As of September 30, 2010, we anticipate recognizing an additional $0.2 million offset to R&amp;D and SG&amp;A expenses related to these cost-sharing agreements over the following quarters of this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Cost of revenues increased by 32% and 23% to $60.2 million and $118.5 million for the three and six months ended September 30, 2010, respectively, compared to $45.6 million and $96.1 million for the three and six months ended September 30, 2009, respectively. Gross margin was 40.7% and 40.4% for the three and six months ended September 30, 2010, respectively, compared to 38.9% and 35.0%, respectively, for the same periods of fiscal 2009. The increases in gross margin in the three and six months ended September 30, 2010 as compared to the same periods in fiscal 2009 were due primarily to a shift in the mix of products sold towards higher margin wind turbine core electrical component shipments; material cost reductions primarily resulting from the localization of component supply in China for our power electronic converters, which are now manufactured there; as well as favorable foreign exchange effects. Based on the average Euro and renminbi exchange rates for the second quarter of fiscal 2010, cost of revenues denominated in these foreign currencies translated into U.S. dollars was $0.2 million higher compared to the translation of cost of revenues using the average exchange rates of these currencies for the second quarter of fiscal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jc w:val="both"/>
        <w:ind w:firstLine="558"/>
        <w:spacing w:after="0" w:line="34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1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w w:val="97"/>
              </w:rPr>
              <w:t>Three months ended</w:t>
            </w: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8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9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condensed consolidated statements of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7,857</w:t>
            </w:r>
          </w:p>
        </w:tc>
        <w:tc>
          <w:tcPr>
            <w:tcW w:w="1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$ 5,416</w:t>
            </w: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$ 15,192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9,944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3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2,510</w:t>
            </w:r>
          </w:p>
        </w:tc>
        <w:tc>
          <w:tcPr>
            <w:tcW w:w="1220" w:type="dxa"/>
            <w:vAlign w:val="bottom"/>
            <w:gridSpan w:val="2"/>
          </w:tcPr>
          <w:p>
            <w:pPr>
              <w:jc w:val="right"/>
              <w:ind w:right="52"/>
              <w:spacing w:after="0"/>
              <w:rPr>
                <w:sz w:val="20"/>
                <w:szCs w:val="20"/>
                <w:color w:val="auto"/>
              </w:rPr>
            </w:pPr>
            <w:r>
              <w:rPr>
                <w:rFonts w:ascii="Arial" w:cs="Arial" w:eastAsia="Arial" w:hAnsi="Arial"/>
                <w:sz w:val="18"/>
                <w:szCs w:val="18"/>
                <w:color w:val="auto"/>
              </w:rPr>
              <w:t>1,360</w:t>
            </w: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5,879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2,847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1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227</w:t>
            </w: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617</w:t>
            </w: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0"/>
        </w:trPr>
        <w:tc>
          <w:tcPr>
            <w:tcW w:w="6200" w:type="dxa"/>
            <w:vAlign w:val="bottom"/>
          </w:tcPr>
          <w:p>
            <w:pPr>
              <w:ind w:left="400"/>
              <w:spacing w:after="0"/>
              <w:rPr>
                <w:sz w:val="20"/>
                <w:szCs w:val="20"/>
                <w:color w:val="auto"/>
              </w:rPr>
            </w:pPr>
            <w:r>
              <w:rPr>
                <w:rFonts w:ascii="Arial" w:cs="Arial" w:eastAsia="Arial" w:hAnsi="Arial"/>
                <w:sz w:val="18"/>
                <w:szCs w:val="18"/>
                <w:color w:val="auto"/>
              </w:rPr>
              <w:t>Aggregated R&amp;D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0"/>
              <w:spacing w:after="0"/>
              <w:rPr>
                <w:sz w:val="20"/>
                <w:szCs w:val="20"/>
                <w:color w:val="auto"/>
              </w:rPr>
            </w:pPr>
            <w:r>
              <w:rPr>
                <w:rFonts w:ascii="Arial" w:cs="Arial" w:eastAsia="Arial" w:hAnsi="Arial"/>
                <w:sz w:val="18"/>
                <w:szCs w:val="18"/>
                <w:color w:val="auto"/>
                <w:w w:val="90"/>
              </w:rPr>
              <w:t>10,500</w:t>
            </w:r>
          </w:p>
        </w:tc>
        <w:tc>
          <w:tcPr>
            <w:tcW w:w="1220" w:type="dxa"/>
            <w:vAlign w:val="bottom"/>
            <w:gridSpan w:val="2"/>
          </w:tcPr>
          <w:p>
            <w:pPr>
              <w:jc w:val="right"/>
              <w:ind w:right="52"/>
              <w:spacing w:after="0"/>
              <w:rPr>
                <w:sz w:val="20"/>
                <w:szCs w:val="20"/>
                <w:color w:val="auto"/>
              </w:rPr>
            </w:pPr>
            <w:r>
              <w:rPr>
                <w:rFonts w:ascii="Arial" w:cs="Arial" w:eastAsia="Arial" w:hAnsi="Arial"/>
                <w:sz w:val="18"/>
                <w:szCs w:val="18"/>
                <w:color w:val="auto"/>
              </w:rPr>
              <w:t>$ 7,003</w:t>
            </w: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$ 21,345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13,408</w:t>
            </w:r>
          </w:p>
        </w:tc>
      </w:tr>
      <w:tr>
        <w:trPr>
          <w:trHeight w:val="20"/>
        </w:trPr>
        <w:tc>
          <w:tcPr>
            <w:tcW w:w="6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72"/>
        <w:spacing w:after="0" w:line="253" w:lineRule="auto"/>
        <w:rPr>
          <w:sz w:val="20"/>
          <w:szCs w:val="20"/>
          <w:color w:val="auto"/>
        </w:rPr>
      </w:pPr>
      <w:r>
        <w:rPr>
          <w:rFonts w:ascii="Arial" w:cs="Arial" w:eastAsia="Arial" w:hAnsi="Arial"/>
          <w:sz w:val="18"/>
          <w:szCs w:val="18"/>
          <w:color w:val="auto"/>
        </w:rPr>
        <w:t>R&amp;D expenses (exclusive of amounts classified as cost of revenues and amounts offset by cost-sharing funding) increased by 45% and 53% to $7.9 million and $15.2 million, or 8% of revenues, for each of the three and six months ended September 30, 2010, respectively, from $5.4 million and $9.9 million, or 7% of revenues, for each of the three and six months ended September 30, 2009, respectively. The increases in R&amp;D expenses were driven primarily by increased headcount and related labor spending, as well as added material and overhead spending to support new product development in our AMSC Power Systems business unit. The increase in R&amp;D expenditures reclassified to costs of revenue was a result of increased efforts under license and development contracts for wind turbine designs at AMSC Windtec compared to the prior year. Aggregated R&amp;D expenses, which include amounts classified as cost of revenues and amounts offset by cost-sharing funding, increased 50% and 59% to $10.5 million and $21.3 million, or 10% and 11% of revenues, for each of the three and six months ended September 30, 2010, respectively, compared to $7.0 million and $13.4 million, or 9% of revenues, for each of the three and six months ended September 30, 2009, respectively. The increases in fiscal 2010 were driven primarily by the net impact of the factors described above.</w:t>
      </w:r>
    </w:p>
    <w:p>
      <w:pPr>
        <w:spacing w:after="0" w:line="168" w:lineRule="exact"/>
        <w:rPr>
          <w:sz w:val="20"/>
          <w:szCs w:val="20"/>
          <w:color w:val="auto"/>
        </w:rPr>
      </w:pPr>
    </w:p>
    <w:p>
      <w:pPr>
        <w:jc w:val="both"/>
        <w:ind w:firstLine="487"/>
        <w:spacing w:after="0" w:line="264" w:lineRule="auto"/>
        <w:rPr>
          <w:sz w:val="20"/>
          <w:szCs w:val="20"/>
          <w:color w:val="auto"/>
        </w:rPr>
      </w:pPr>
      <w:r>
        <w:rPr>
          <w:rFonts w:ascii="Arial" w:cs="Arial" w:eastAsia="Arial" w:hAnsi="Arial"/>
          <w:sz w:val="18"/>
          <w:szCs w:val="18"/>
          <w:color w:val="auto"/>
        </w:rPr>
        <w:t>We present aggregated R&amp;D, which is a non-GAAP measure, because we believe this presentation provides useful information on our aggregate R&amp;D spending and because R&amp;D expenses as reported on the condensed consolidated statements of income have been, and may in the future be, subject to significant fluctuations solely as a result of changes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level of externally funded contract development work, resulting in significant changes in the amount of the costs recorded as costs of revenues rather than as R&amp;D expenses, as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85"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SG&amp;A expenses increased by 35% and 37% to $17.1 million and $32.3 million, or 17% and 16% of revenues, in the three and six months ended September 30, 2010, respectively, from $12.7 million and $23.6 million, or 17% and 16% of revenues, for each of the three and six months ended September 30, 2009, respectively. The increases in SG&amp;A expenses were due primarily to higher stock-based compensation expense and higher labor and related costs driven by headcount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jc w:val="both"/>
        <w:ind w:firstLine="692"/>
        <w:spacing w:after="0" w:line="264" w:lineRule="auto"/>
        <w:rPr>
          <w:sz w:val="20"/>
          <w:szCs w:val="20"/>
          <w:color w:val="auto"/>
        </w:rPr>
      </w:pPr>
      <w:r>
        <w:rPr>
          <w:rFonts w:ascii="Arial" w:cs="Arial" w:eastAsia="Arial" w:hAnsi="Arial"/>
          <w:sz w:val="18"/>
          <w:szCs w:val="18"/>
          <w:color w:val="auto"/>
        </w:rPr>
        <w:t>We recorded $0.4 million and $0.8 million in the three and six months ended September 30, 2010, respectively, compared to $0.5 million and $0.9 million in the three and six months ended September 30, 2009, respectively, in amortization expense related to our contractual relationships/backlog, customer relationships, core technology and know-how, trade names and trademark intangible assets.</w:t>
      </w:r>
    </w:p>
    <w:p>
      <w:pPr>
        <w:spacing w:after="0" w:line="141"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8"/>
          <w:szCs w:val="18"/>
          <w:color w:val="auto"/>
        </w:rPr>
        <w:t>We plan to continue to increase our operating expenses in the coming quarters to provide the platform for growth in subsequent years, but expect them to decline in fiscal 2010 as a percent of revenues from fiscal 2009 levels.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is summarized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6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26,842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19,866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52,327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35,261</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AMSC Superconductors</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(6,533)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(12,444)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(11,144)</w:t>
            </w: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(7,858)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20" w:type="dxa"/>
            <w:vAlign w:val="bottom"/>
            <w:shd w:val="clear" w:color="auto" w:fill="CCEEFF"/>
          </w:tcPr>
          <w:p>
            <w:pPr>
              <w:spacing w:after="0"/>
              <w:rPr>
                <w:sz w:val="18"/>
                <w:szCs w:val="18"/>
                <w:color w:val="auto"/>
              </w:rPr>
            </w:pPr>
          </w:p>
        </w:tc>
      </w:tr>
      <w:tr>
        <w:trPr>
          <w:trHeight w:val="223"/>
        </w:trPr>
        <w:tc>
          <w:tcPr>
            <w:tcW w:w="6140" w:type="dxa"/>
            <w:vAlign w:val="bottom"/>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32,025</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684"/>
        <w:spacing w:after="0" w:line="264" w:lineRule="auto"/>
        <w:rPr>
          <w:sz w:val="20"/>
          <w:szCs w:val="20"/>
          <w:color w:val="auto"/>
        </w:rPr>
      </w:pPr>
      <w:r>
        <w:rPr>
          <w:rFonts w:ascii="Arial" w:cs="Arial" w:eastAsia="Arial" w:hAnsi="Arial"/>
          <w:sz w:val="18"/>
          <w:szCs w:val="18"/>
          <w:color w:val="auto"/>
        </w:rPr>
        <w:t>AMSC Power Systems operating income increased to $26.8 million and $52.3 million in the three and six months ended September 30, 2010, respectively, from $19.9 million and $35.3 million in the three and six months ended September 30, 2009, respectively. The increase in the three and six months ended September 30, 2010 was primarily the result of higher sales, as described above.</w:t>
      </w:r>
    </w:p>
    <w:p>
      <w:pPr>
        <w:spacing w:after="0" w:line="141" w:lineRule="exact"/>
        <w:rPr>
          <w:sz w:val="20"/>
          <w:szCs w:val="20"/>
          <w:color w:val="auto"/>
        </w:rPr>
      </w:pPr>
    </w:p>
    <w:p>
      <w:pPr>
        <w:jc w:val="both"/>
        <w:ind w:firstLine="458"/>
        <w:spacing w:after="0" w:line="286" w:lineRule="auto"/>
        <w:rPr>
          <w:sz w:val="20"/>
          <w:szCs w:val="20"/>
          <w:color w:val="auto"/>
        </w:rPr>
      </w:pPr>
      <w:r>
        <w:rPr>
          <w:rFonts w:ascii="Arial" w:cs="Arial" w:eastAsia="Arial" w:hAnsi="Arial"/>
          <w:sz w:val="17"/>
          <w:szCs w:val="17"/>
          <w:color w:val="auto"/>
        </w:rPr>
        <w:t>AMSC Superconductors operating loss increased to $6.5 million and $12.4 million in the three and six months ended September 30, 2010, respectively, from $5.6 million and $11.1 million in the three and six months ended September, 30, 2009, respectively. The increase in operating loss for the three and six months ended September 30, 2010 is primarily due to increased operating expenses to support planned operations expansion.</w:t>
      </w:r>
    </w:p>
    <w:p>
      <w:pPr>
        <w:spacing w:after="0" w:line="125" w:lineRule="exact"/>
        <w:rPr>
          <w:sz w:val="20"/>
          <w:szCs w:val="20"/>
          <w:color w:val="auto"/>
        </w:rPr>
      </w:pPr>
    </w:p>
    <w:p>
      <w:pPr>
        <w:jc w:val="both"/>
        <w:ind w:firstLine="697"/>
        <w:spacing w:after="0" w:line="259" w:lineRule="auto"/>
        <w:rPr>
          <w:sz w:val="20"/>
          <w:szCs w:val="20"/>
          <w:color w:val="auto"/>
        </w:rPr>
      </w:pPr>
      <w:r>
        <w:rPr>
          <w:rFonts w:ascii="Arial" w:cs="Arial" w:eastAsia="Arial" w:hAnsi="Arial"/>
          <w:sz w:val="18"/>
          <w:szCs w:val="18"/>
          <w:color w:val="auto"/>
        </w:rPr>
        <w:t>Unallocated corporate expenses include stock-based compensation expense of $4.3 million and $7.8 million in the three and six months ended September 30, 2010, respectively, compared to $3.9 million and $6.9 million in the three and six months ended September 30, 2009, respectively. Unallocated corporate expenses for the three and six months ended September 30, 2009 included $0.1 million and $0.5 million, respectively, of restructuring charges related primarily to the closure of the Company’s facility in Westborough, Massachusetts.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income was $0.2 million and $0.4 million in each of the three and six months ended September 30, 2010 and September 30, 2009,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 to current economic conditions, yields are low for interest bearing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8"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Other income (expense), net, was income of $2.4 million and $2.6 million in the three and six months ended September 30, 2010, respectively, compared to expense of $0.9 million and expense of $2.8 million for the three and six months ended September 30, 2009, respectively. Other income (expense), net primarily relates to gains on hedging contracts of $8.0 million and $4.0 million, net foreign currency translation losses of $5.1 million and $0.8 million, and minority interest in the losses of investments in Blade Dynamics and Tres Amigas of $0.5 million and $0.6 million for the three and six months ended September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520"/>
        <w:spacing w:after="0" w:line="312" w:lineRule="auto"/>
        <w:rPr>
          <w:sz w:val="20"/>
          <w:szCs w:val="20"/>
          <w:color w:val="auto"/>
        </w:rPr>
      </w:pPr>
      <w:r>
        <w:rPr>
          <w:rFonts w:ascii="Arial" w:cs="Arial" w:eastAsia="Arial" w:hAnsi="Arial"/>
          <w:sz w:val="16"/>
          <w:szCs w:val="16"/>
          <w:color w:val="auto"/>
        </w:rPr>
        <w:t>In the three and six months ended September 30, 2010, we recorded income tax expense of $8.6 million and $15.9 million, respectively, compared to $5.3 million and $8.2 million in the three and six months ended September 30, 2009, respectively. Income tax expense in all periods was driven primarily by income generated in foreign jurisdictions. We incurred losses in the U.S. during the three and six months of fiscal 2010 and fiscal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146"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We define non-GAAP net income as net income before amortization of acquisition-related intangibles, restructuring and impairments, stock-based compensation, other unusual charges and any tax effects related to these items. We believe non-GAAP net income is an important measurement for management and investors given the effect that these non-cash or non-recurring charges have on our net income. We regard non-GAAP net income as a useful measure of operating performance which more closely aligns net income with cash earnings generated by continuing operations. A reconciliation of non-GAAP to GAAP net income is set forth in the table below (in thousands, except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69"/>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9"/>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9"/>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9"/>
              <w:spacing w:after="0" w:line="142" w:lineRule="exact"/>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9,988</w:t>
            </w:r>
          </w:p>
        </w:tc>
        <w:tc>
          <w:tcPr>
            <w:tcW w:w="66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4,340</w:t>
            </w: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19,157</w:t>
            </w:r>
          </w:p>
        </w:tc>
        <w:tc>
          <w:tcPr>
            <w:tcW w:w="6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Amortization of acquisition-related intangibles</w:t>
            </w:r>
          </w:p>
        </w:tc>
        <w:tc>
          <w:tcPr>
            <w:tcW w:w="280" w:type="dxa"/>
            <w:vAlign w:val="bottom"/>
          </w:tcPr>
          <w:p>
            <w:pPr>
              <w:spacing w:after="0"/>
              <w:rPr>
                <w:sz w:val="12"/>
                <w:szCs w:val="12"/>
                <w:color w:val="auto"/>
              </w:rPr>
            </w:pPr>
          </w:p>
        </w:tc>
        <w:tc>
          <w:tcPr>
            <w:tcW w:w="7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374</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460</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762</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and impairments</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117</w:t>
            </w: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2"/>
                <w:szCs w:val="12"/>
                <w:color w:val="auto"/>
              </w:rPr>
            </w:pPr>
          </w:p>
        </w:tc>
        <w:tc>
          <w:tcPr>
            <w:tcW w:w="7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4,326</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3,852</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7,825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effects</w:t>
            </w: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5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3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Non-GAAP net income</w:t>
            </w:r>
          </w:p>
        </w:tc>
        <w:tc>
          <w:tcPr>
            <w:tcW w:w="2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14,604</w:t>
            </w:r>
          </w:p>
        </w:tc>
        <w:tc>
          <w:tcPr>
            <w:tcW w:w="340" w:type="dxa"/>
            <w:vAlign w:val="bottom"/>
          </w:tcPr>
          <w:p>
            <w:pPr>
              <w:spacing w:after="0"/>
              <w:rPr>
                <w:sz w:val="13"/>
                <w:szCs w:val="13"/>
                <w:color w:val="auto"/>
              </w:rPr>
            </w:pPr>
          </w:p>
        </w:tc>
        <w:tc>
          <w:tcPr>
            <w:tcW w:w="3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8,676</w:t>
            </w:r>
          </w:p>
        </w:tc>
        <w:tc>
          <w:tcPr>
            <w:tcW w:w="560" w:type="dxa"/>
            <w:vAlign w:val="bottom"/>
          </w:tcPr>
          <w:p>
            <w:pPr>
              <w:spacing w:after="0"/>
              <w:rPr>
                <w:sz w:val="13"/>
                <w:szCs w:val="13"/>
                <w:color w:val="auto"/>
              </w:rPr>
            </w:pPr>
          </w:p>
        </w:tc>
        <w:tc>
          <w:tcPr>
            <w:tcW w:w="2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27,577</w:t>
            </w:r>
          </w:p>
        </w:tc>
        <w:tc>
          <w:tcPr>
            <w:tcW w:w="320" w:type="dxa"/>
            <w:vAlign w:val="bottom"/>
          </w:tcPr>
          <w:p>
            <w:pPr>
              <w:spacing w:after="0"/>
              <w:rPr>
                <w:sz w:val="13"/>
                <w:szCs w:val="13"/>
                <w:color w:val="auto"/>
              </w:rPr>
            </w:pPr>
          </w:p>
        </w:tc>
        <w:tc>
          <w:tcPr>
            <w:tcW w:w="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earnings per share</w:t>
            </w:r>
          </w:p>
        </w:tc>
        <w:tc>
          <w:tcPr>
            <w:tcW w:w="2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0.32</w:t>
            </w:r>
          </w:p>
        </w:tc>
        <w:tc>
          <w:tcPr>
            <w:tcW w:w="6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0.19</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0.60</w:t>
            </w:r>
          </w:p>
        </w:tc>
        <w:tc>
          <w:tcPr>
            <w:tcW w:w="6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diluted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
              <w:spacing w:after="0" w:line="143" w:lineRule="exact"/>
              <w:rPr>
                <w:sz w:val="20"/>
                <w:szCs w:val="20"/>
                <w:color w:val="auto"/>
              </w:rPr>
            </w:pPr>
            <w:r>
              <w:rPr>
                <w:rFonts w:ascii="Arial" w:cs="Arial" w:eastAsia="Arial" w:hAnsi="Arial"/>
                <w:sz w:val="14"/>
                <w:szCs w:val="14"/>
                <w:color w:val="auto"/>
              </w:rPr>
              <w:t>46,217</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rPr>
              <w:t>45,233</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rPr>
              <w:t>46,099</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02"/>
        <w:spacing w:after="0" w:line="259" w:lineRule="auto"/>
        <w:rPr>
          <w:sz w:val="20"/>
          <w:szCs w:val="20"/>
          <w:color w:val="auto"/>
        </w:rPr>
      </w:pPr>
      <w:r>
        <w:rPr>
          <w:rFonts w:ascii="Arial" w:cs="Arial" w:eastAsia="Arial" w:hAnsi="Arial"/>
          <w:sz w:val="18"/>
          <w:szCs w:val="18"/>
          <w:color w:val="auto"/>
        </w:rPr>
        <w:t>We generated non-GAAP net income of $14.6 million and $27.6 million or $0.32 and $0.60 per diluted share, for the three and six months ended September 30, 2010, compared to a non-GAAP net income of $8.7 million and $14.2 million or $0.19 and $0.32 per diluted share, for the three and six months ended September 30, 2009. The increase in non-GAAP net income was driven primarily by higher net income and, to a lesser extent, higher stock-based compensation expense, which was added back to net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610"/>
        <w:spacing w:after="0" w:line="264" w:lineRule="auto"/>
        <w:rPr>
          <w:sz w:val="20"/>
          <w:szCs w:val="20"/>
          <w:color w:val="auto"/>
        </w:rPr>
      </w:pPr>
      <w:r>
        <w:rPr>
          <w:rFonts w:ascii="Arial" w:cs="Arial" w:eastAsia="Arial" w:hAnsi="Arial"/>
          <w:sz w:val="18"/>
          <w:szCs w:val="18"/>
          <w:color w:val="auto"/>
        </w:rPr>
        <w:t>At September 30, 2010, we had cash, cash equivalents, marketable securities and restricted cash of $131.2 million compared to $155.1 million at March 31, 2010, a decrease of $23.9 million. Our cash and cash equivalents, marketable securities and restricted cash are summarized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38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8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52,615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Marketable securities (short and long-term)</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73,118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61,811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w:t>
            </w:r>
          </w:p>
        </w:tc>
      </w:tr>
      <w:tr>
        <w:trPr>
          <w:trHeight w:val="223"/>
        </w:trPr>
        <w:tc>
          <w:tcPr>
            <w:tcW w:w="8820" w:type="dxa"/>
            <w:vAlign w:val="bottom"/>
          </w:tcPr>
          <w:p>
            <w:pPr>
              <w:ind w:left="46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155,118</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3"/>
        <w:spacing w:after="0" w:line="264" w:lineRule="auto"/>
        <w:rPr>
          <w:sz w:val="20"/>
          <w:szCs w:val="20"/>
          <w:color w:val="auto"/>
        </w:rPr>
      </w:pPr>
      <w:r>
        <w:rPr>
          <w:rFonts w:ascii="Arial" w:cs="Arial" w:eastAsia="Arial" w:hAnsi="Arial"/>
          <w:sz w:val="18"/>
          <w:szCs w:val="18"/>
          <w:color w:val="auto"/>
        </w:rPr>
        <w:t>The decrease in cash and cash equivalents, marketable securities and restricted cash at September 30, 2010 from March 31, 2010 was due to cash used for working capital, primarily an increase in accounts receivable, and capital expenditures made in support of our effort to scale up our Amperium™ core capacity.</w:t>
      </w:r>
    </w:p>
    <w:p>
      <w:pPr>
        <w:spacing w:after="0" w:line="141"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8"/>
          <w:szCs w:val="18"/>
          <w:color w:val="auto"/>
        </w:rPr>
        <w:t>For the six months ended September 30, 2010, net cash used in operating activities was $1.9 million compared to net cash provided by operating activities of $21.7 million in the six months ended September 30, 2009. The decrease in cash provided by operations is due primarily to an increase in cash used for working capital of $41.0 million, partially offset by our increase of net income of $13.0 million.</w:t>
      </w:r>
    </w:p>
    <w:p>
      <w:pPr>
        <w:spacing w:after="0" w:line="141" w:lineRule="exact"/>
        <w:rPr>
          <w:sz w:val="20"/>
          <w:szCs w:val="20"/>
          <w:color w:val="auto"/>
        </w:rPr>
      </w:pPr>
    </w:p>
    <w:p>
      <w:pPr>
        <w:jc w:val="both"/>
        <w:ind w:firstLine="581"/>
        <w:spacing w:after="0" w:line="264" w:lineRule="auto"/>
        <w:rPr>
          <w:sz w:val="20"/>
          <w:szCs w:val="20"/>
          <w:color w:val="auto"/>
        </w:rPr>
      </w:pPr>
      <w:r>
        <w:rPr>
          <w:rFonts w:ascii="Arial" w:cs="Arial" w:eastAsia="Arial" w:hAnsi="Arial"/>
          <w:sz w:val="18"/>
          <w:szCs w:val="18"/>
          <w:color w:val="auto"/>
        </w:rPr>
        <w:t>For the six months ended September 30, 2010, net cash used in investing activities was $37.3 million compared to $11.9 million in the six months ended September 30, 2009. The increase in cash used in investing activities was driven primarily by an increase in capital expenditures and the purchased minority investment in Blade Dynamics during the six months ended September 30, 2010.</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For the six months ended September 30, 2010, cash provided by financing activities was $1.6 million compared to $4.1 million in the same period of fiscal 2009. The decrease of cash provided by financing activities was driven by a decrease in proceeds from the exercise of employee stock options.</w:t>
      </w:r>
    </w:p>
    <w:p>
      <w:pPr>
        <w:spacing w:after="0" w:line="83" w:lineRule="exact"/>
        <w:rPr>
          <w:sz w:val="20"/>
          <w:szCs w:val="20"/>
          <w:color w:val="auto"/>
        </w:rPr>
      </w:pPr>
    </w:p>
    <w:p>
      <w:pPr>
        <w:jc w:val="both"/>
        <w:ind w:firstLine="471"/>
        <w:spacing w:after="0" w:line="264"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w:t>
      </w:r>
    </w:p>
    <w:p>
      <w:pPr>
        <w:spacing w:after="0" w:line="141" w:lineRule="exact"/>
        <w:rPr>
          <w:sz w:val="20"/>
          <w:szCs w:val="20"/>
          <w:color w:val="auto"/>
        </w:rPr>
      </w:pPr>
    </w:p>
    <w:p>
      <w:pPr>
        <w:jc w:val="both"/>
        <w:ind w:firstLine="451"/>
        <w:spacing w:after="0" w:line="308" w:lineRule="auto"/>
        <w:rPr>
          <w:sz w:val="20"/>
          <w:szCs w:val="20"/>
          <w:color w:val="auto"/>
        </w:rPr>
      </w:pPr>
      <w:r>
        <w:rPr>
          <w:rFonts w:ascii="Arial" w:cs="Arial" w:eastAsia="Arial" w:hAnsi="Arial"/>
          <w:sz w:val="17"/>
          <w:szCs w:val="17"/>
          <w:color w:val="auto"/>
        </w:rPr>
        <w:t>We had unused, unsecured lines of credit consisting of CNY 11.9 million (approximately $1.8 million) and €2.3 million (approximately $3.1 million) as of September 30, 2010. We also have an additional $3.5 million in bank guarantees and letters of credit supported by unsecured lines of credit.</w:t>
      </w:r>
    </w:p>
    <w:p>
      <w:pPr>
        <w:spacing w:after="0" w:line="120"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firstLine="672"/>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27"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September 30, 2010, there were no recorded performance-based liabilities.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7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jc w:val="both"/>
        <w:ind w:firstLine="622"/>
        <w:spacing w:after="0" w:line="308" w:lineRule="auto"/>
        <w:rPr>
          <w:sz w:val="20"/>
          <w:szCs w:val="20"/>
          <w:color w:val="auto"/>
        </w:rPr>
      </w:pPr>
      <w:r>
        <w:rPr>
          <w:rFonts w:ascii="Arial" w:cs="Arial" w:eastAsia="Arial" w:hAnsi="Arial"/>
          <w:sz w:val="17"/>
          <w:szCs w:val="17"/>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sovereign debt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 and currency options to manage the foreign currency exposures that exist as part of its ongoing business operations. We recognize all derivatives, including forward currency-exchange contracts, in the balance sheet at fair value.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We hedge a portion of our intercompany sales of inventory over a maximum period of 15 months using forward foreign exchange contracts accounted for as cash flow hedges to mitigate the impact of volatility associated with foreign currency transactions.</w:t>
      </w:r>
    </w:p>
    <w:p>
      <w:pPr>
        <w:spacing w:after="0" w:line="35"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We do not enter into derivative instruments for trading or speculative purposes.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w:t>
      </w:r>
    </w:p>
    <w:p>
      <w:pPr>
        <w:spacing w:after="0" w:line="44"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color w:val="auto"/>
        </w:rPr>
        <w:t>At September 30, 2010, we had forward contracts outstanding to hedge cash flow exposure at AMSC Windtec, with aggregate USD equivalent notional amounts of $34.4 million. These contracts will expire at various dates through June 2011. The net gain or loss from these cash flow hedges reported in accumulated other comprehensive income will be reclassified to earnings and recorded in cost of revenues in our condensed consolidated statement of income when the related inventory is sold to third-party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jc w:val="both"/>
        <w:ind w:firstLine="483"/>
        <w:spacing w:after="0" w:line="302" w:lineRule="auto"/>
        <w:rPr>
          <w:sz w:val="20"/>
          <w:szCs w:val="20"/>
          <w:color w:val="auto"/>
        </w:rPr>
      </w:pPr>
      <w:r>
        <w:rPr>
          <w:rFonts w:ascii="Arial" w:cs="Arial" w:eastAsia="Arial" w:hAnsi="Arial"/>
          <w:sz w:val="16"/>
          <w:szCs w:val="16"/>
          <w:color w:val="auto"/>
        </w:rPr>
        <w:t>In addition to cash flow hedges, we also enter into foreign currency forward exchange contracts to mitigate the impact of foreign exchange risk related to non-functional currency receivable balances in its foreign entities. We do not elect hedge accounting treatment for these hedges, consequently, changes in the fair value of these contracts are recorded within other income (expense), net, in the period which they occur. At September 30, 2010, we had forward contracts outstanding with aggregate USD equivalent notional amounts of $58.9 million, which expired in October 2010.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2010.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2010,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53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September 30, 2010 that has materially affected, or is reasonably likely to materially affect, our internal control over financial reporting.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jc w:val="both"/>
        <w:ind w:right="20" w:firstLine="499"/>
        <w:spacing w:after="0" w:line="286" w:lineRule="auto"/>
        <w:rPr>
          <w:sz w:val="20"/>
          <w:szCs w:val="20"/>
          <w:color w:val="auto"/>
        </w:rPr>
      </w:pPr>
      <w:r>
        <w:rPr>
          <w:rFonts w:ascii="Arial" w:cs="Arial" w:eastAsia="Arial" w:hAnsi="Arial"/>
          <w:sz w:val="17"/>
          <w:szCs w:val="17"/>
          <w:color w:val="auto"/>
        </w:rPr>
        <w:t>Investing in our common stock involves a high degree of risk. You should carefully consider the risks and uncertainties described in our annual report on Form 10-K for the year ended March 31, 2010 in addition to the other information included in this quarterly report. If any of the risks actually occurs, our business, financial condition or results of operations would likely suffer. In that case, the trading price of our common stock could fall.</w:t>
      </w:r>
    </w:p>
    <w:p>
      <w:pPr>
        <w:spacing w:after="0" w:line="30" w:lineRule="exact"/>
        <w:rPr>
          <w:sz w:val="20"/>
          <w:szCs w:val="20"/>
          <w:color w:val="auto"/>
        </w:rPr>
      </w:pPr>
    </w:p>
    <w:p>
      <w:pPr>
        <w:jc w:val="both"/>
        <w:ind w:firstLine="451"/>
        <w:spacing w:after="0" w:line="264" w:lineRule="auto"/>
        <w:rPr>
          <w:sz w:val="20"/>
          <w:szCs w:val="20"/>
          <w:color w:val="auto"/>
        </w:rPr>
      </w:pPr>
      <w:r>
        <w:rPr>
          <w:rFonts w:ascii="Arial" w:cs="Arial" w:eastAsia="Arial" w:hAnsi="Arial"/>
          <w:sz w:val="18"/>
          <w:szCs w:val="18"/>
          <w:color w:val="auto"/>
        </w:rPr>
        <w:t>As of September 30, 2010, there have not been any material changes to the risk factors disclosed in our Annual Report on Form 10-K for the fiscal year ended March 31, 2010, although we may disclose changes to such risk factors or disclose additional risk factors from time to time in our future filings with the SEC.</w:t>
      </w:r>
    </w:p>
    <w:p>
      <w:pPr>
        <w:spacing w:after="0" w:line="1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jc w:val="both"/>
        <w:ind w:firstLine="506"/>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6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AMERICAN SUPERCONDUCTOR CORPORATION</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auto"/>
        </w:rPr>
        <w:t>/s/ David A. Henry</w:t>
      </w:r>
    </w:p>
    <w:p>
      <w:pPr>
        <w:spacing w:after="0" w:line="50" w:lineRule="exact"/>
        <w:rPr>
          <w:sz w:val="20"/>
          <w:szCs w:val="20"/>
          <w:color w:val="auto"/>
        </w:rPr>
      </w:pPr>
    </w:p>
    <w:p>
      <w:pPr>
        <w:sectPr>
          <w:pgSz w:w="11900" w:h="16838" w:orient="portrait"/>
          <w:cols w:equalWidth="0" w:num="3">
            <w:col w:w="6100" w:space="720"/>
            <w:col w:w="960" w:space="720"/>
            <w:col w:w="2920"/>
          </w:cols>
          <w:pgMar w:left="240" w:top="419" w:right="239" w:bottom="1440" w:gutter="0" w:footer="0" w:header="0"/>
          <w:type w:val="continuous"/>
        </w:sectPr>
      </w:pPr>
    </w:p>
    <w:p>
      <w:pPr>
        <w:jc w:val="center"/>
        <w:ind w:left="71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8473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100"/>
        <w:spacing w:after="0"/>
        <w:rPr>
          <w:sz w:val="20"/>
          <w:szCs w:val="20"/>
          <w:color w:val="auto"/>
        </w:rPr>
      </w:pPr>
      <w:r>
        <w:rPr>
          <w:rFonts w:ascii="Arial" w:cs="Arial" w:eastAsia="Arial" w:hAnsi="Arial"/>
          <w:sz w:val="16"/>
          <w:szCs w:val="16"/>
          <w:color w:val="auto"/>
        </w:rPr>
        <w:t>Senior Vice President and Chief Financial Officer</w:t>
      </w:r>
    </w:p>
    <w:p>
      <w:pPr>
        <w:spacing w:after="0" w:line="32"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5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306"/>
        </w:trPr>
        <w:tc>
          <w:tcPr>
            <w:tcW w:w="920" w:type="dxa"/>
            <w:vAlign w:val="bottom"/>
          </w:tcPr>
          <w:p>
            <w:pPr>
              <w:spacing w:after="0"/>
              <w:rPr>
                <w:sz w:val="20"/>
                <w:szCs w:val="20"/>
                <w:color w:val="auto"/>
              </w:rPr>
            </w:pPr>
            <w:r>
              <w:rPr>
                <w:rFonts w:ascii="Arial" w:cs="Arial" w:eastAsia="Arial" w:hAnsi="Arial"/>
                <w:sz w:val="14"/>
                <w:szCs w:val="14"/>
                <w:color w:val="auto"/>
              </w:rPr>
              <w:t>†10.1</w:t>
            </w:r>
          </w:p>
        </w:tc>
        <w:tc>
          <w:tcPr>
            <w:tcW w:w="10500" w:type="dxa"/>
            <w:vAlign w:val="bottom"/>
          </w:tcPr>
          <w:p>
            <w:pPr>
              <w:ind w:left="240"/>
              <w:spacing w:after="0"/>
              <w:rPr>
                <w:sz w:val="20"/>
                <w:szCs w:val="20"/>
                <w:color w:val="auto"/>
              </w:rPr>
            </w:pPr>
            <w:r>
              <w:rPr>
                <w:rFonts w:ascii="Arial" w:cs="Arial" w:eastAsia="Arial" w:hAnsi="Arial"/>
                <w:sz w:val="14"/>
                <w:szCs w:val="14"/>
                <w:color w:val="auto"/>
              </w:rPr>
              <w:t>Purchase Contract No. HCG1.5MW-10016-01, effective as of May 12, 2010, between Sinovel Wind Group Co., Ltd. and Suzhou AMSC Superconductor Co., Ltd (1)</w:t>
            </w:r>
          </w:p>
        </w:tc>
      </w:tr>
      <w:tr>
        <w:trPr>
          <w:trHeight w:val="263"/>
        </w:trPr>
        <w:tc>
          <w:tcPr>
            <w:tcW w:w="920" w:type="dxa"/>
            <w:vAlign w:val="bottom"/>
          </w:tcPr>
          <w:p>
            <w:pPr>
              <w:spacing w:after="0"/>
              <w:rPr>
                <w:sz w:val="20"/>
                <w:szCs w:val="20"/>
                <w:color w:val="auto"/>
              </w:rPr>
            </w:pPr>
            <w:r>
              <w:rPr>
                <w:rFonts w:ascii="Arial" w:cs="Arial" w:eastAsia="Arial" w:hAnsi="Arial"/>
                <w:sz w:val="14"/>
                <w:szCs w:val="14"/>
                <w:color w:val="auto"/>
              </w:rPr>
              <w:t>31.1</w:t>
            </w:r>
          </w:p>
        </w:tc>
        <w:tc>
          <w:tcPr>
            <w:tcW w:w="10500" w:type="dxa"/>
            <w:vAlign w:val="bottom"/>
          </w:tcPr>
          <w:p>
            <w:pPr>
              <w:ind w:left="240"/>
              <w:spacing w:after="0"/>
              <w:rPr>
                <w:sz w:val="20"/>
                <w:szCs w:val="20"/>
                <w:color w:val="auto"/>
              </w:rPr>
            </w:pPr>
            <w:r>
              <w:rPr>
                <w:rFonts w:ascii="Arial" w:cs="Arial" w:eastAsia="Arial" w:hAnsi="Arial"/>
                <w:sz w:val="14"/>
                <w:szCs w:val="14"/>
                <w:color w:val="auto"/>
                <w:w w:val="93"/>
              </w:rPr>
              <w:t>Chief Executive Officer—Certification pursuant to Rule 13a-14(a) or Rule 15d-14(a) of the Securities Exchange Act of 1934, as adopted pursuant to Section 302 of the Sarbanes-</w:t>
            </w:r>
          </w:p>
        </w:tc>
      </w:tr>
      <w:tr>
        <w:trPr>
          <w:trHeight w:val="182"/>
        </w:trPr>
        <w:tc>
          <w:tcPr>
            <w:tcW w:w="920" w:type="dxa"/>
            <w:vAlign w:val="bottom"/>
          </w:tcPr>
          <w:p>
            <w:pPr>
              <w:spacing w:after="0"/>
              <w:rPr>
                <w:sz w:val="15"/>
                <w:szCs w:val="15"/>
                <w:color w:val="auto"/>
              </w:rPr>
            </w:pPr>
          </w:p>
        </w:tc>
        <w:tc>
          <w:tcPr>
            <w:tcW w:w="10500" w:type="dxa"/>
            <w:vAlign w:val="bottom"/>
          </w:tcPr>
          <w:p>
            <w:pPr>
              <w:ind w:left="240"/>
              <w:spacing w:after="0"/>
              <w:rPr>
                <w:sz w:val="20"/>
                <w:szCs w:val="20"/>
                <w:color w:val="auto"/>
              </w:rPr>
            </w:pPr>
            <w:r>
              <w:rPr>
                <w:rFonts w:ascii="Arial" w:cs="Arial" w:eastAsia="Arial" w:hAnsi="Arial"/>
                <w:sz w:val="14"/>
                <w:szCs w:val="14"/>
                <w:color w:val="auto"/>
              </w:rPr>
              <w:t>Oxley Act of 2002</w:t>
            </w:r>
          </w:p>
        </w:tc>
      </w:tr>
      <w:tr>
        <w:trPr>
          <w:trHeight w:val="263"/>
        </w:trPr>
        <w:tc>
          <w:tcPr>
            <w:tcW w:w="920" w:type="dxa"/>
            <w:vAlign w:val="bottom"/>
          </w:tcPr>
          <w:p>
            <w:pPr>
              <w:spacing w:after="0"/>
              <w:rPr>
                <w:sz w:val="20"/>
                <w:szCs w:val="20"/>
                <w:color w:val="auto"/>
              </w:rPr>
            </w:pPr>
            <w:r>
              <w:rPr>
                <w:rFonts w:ascii="Arial" w:cs="Arial" w:eastAsia="Arial" w:hAnsi="Arial"/>
                <w:sz w:val="14"/>
                <w:szCs w:val="14"/>
                <w:color w:val="auto"/>
              </w:rPr>
              <w:t>31.2</w:t>
            </w:r>
          </w:p>
        </w:tc>
        <w:tc>
          <w:tcPr>
            <w:tcW w:w="10500" w:type="dxa"/>
            <w:vAlign w:val="bottom"/>
          </w:tcPr>
          <w:p>
            <w:pPr>
              <w:ind w:left="240"/>
              <w:spacing w:after="0"/>
              <w:rPr>
                <w:sz w:val="20"/>
                <w:szCs w:val="20"/>
                <w:color w:val="auto"/>
              </w:rPr>
            </w:pPr>
            <w:r>
              <w:rPr>
                <w:rFonts w:ascii="Arial" w:cs="Arial" w:eastAsia="Arial" w:hAnsi="Arial"/>
                <w:sz w:val="14"/>
                <w:szCs w:val="14"/>
                <w:color w:val="auto"/>
                <w:w w:val="93"/>
              </w:rPr>
              <w:t>Chief Financial Officer—Certification pursuant to Rule 13a-14(a) or Rule 15d-14(a) of the Securities Exchange Act of 1934, as adopted pursuant to Section 302 of the Sarbanes-</w:t>
            </w:r>
          </w:p>
        </w:tc>
      </w:tr>
      <w:tr>
        <w:trPr>
          <w:trHeight w:val="182"/>
        </w:trPr>
        <w:tc>
          <w:tcPr>
            <w:tcW w:w="920" w:type="dxa"/>
            <w:vAlign w:val="bottom"/>
          </w:tcPr>
          <w:p>
            <w:pPr>
              <w:spacing w:after="0"/>
              <w:rPr>
                <w:sz w:val="15"/>
                <w:szCs w:val="15"/>
                <w:color w:val="auto"/>
              </w:rPr>
            </w:pPr>
          </w:p>
        </w:tc>
        <w:tc>
          <w:tcPr>
            <w:tcW w:w="10500" w:type="dxa"/>
            <w:vAlign w:val="bottom"/>
          </w:tcPr>
          <w:p>
            <w:pPr>
              <w:ind w:left="240"/>
              <w:spacing w:after="0"/>
              <w:rPr>
                <w:sz w:val="20"/>
                <w:szCs w:val="20"/>
                <w:color w:val="auto"/>
              </w:rPr>
            </w:pPr>
            <w:r>
              <w:rPr>
                <w:rFonts w:ascii="Arial" w:cs="Arial" w:eastAsia="Arial" w:hAnsi="Arial"/>
                <w:sz w:val="14"/>
                <w:szCs w:val="14"/>
                <w:color w:val="auto"/>
              </w:rPr>
              <w:t>Oxley Act of 2002</w:t>
            </w:r>
          </w:p>
        </w:tc>
      </w:tr>
      <w:tr>
        <w:trPr>
          <w:trHeight w:val="263"/>
        </w:trPr>
        <w:tc>
          <w:tcPr>
            <w:tcW w:w="920" w:type="dxa"/>
            <w:vAlign w:val="bottom"/>
          </w:tcPr>
          <w:p>
            <w:pPr>
              <w:spacing w:after="0"/>
              <w:rPr>
                <w:sz w:val="20"/>
                <w:szCs w:val="20"/>
                <w:color w:val="auto"/>
              </w:rPr>
            </w:pPr>
            <w:r>
              <w:rPr>
                <w:rFonts w:ascii="Arial" w:cs="Arial" w:eastAsia="Arial" w:hAnsi="Arial"/>
                <w:sz w:val="14"/>
                <w:szCs w:val="14"/>
                <w:color w:val="auto"/>
              </w:rPr>
              <w:t>32.1</w:t>
            </w:r>
          </w:p>
        </w:tc>
        <w:tc>
          <w:tcPr>
            <w:tcW w:w="10500" w:type="dxa"/>
            <w:vAlign w:val="bottom"/>
          </w:tcPr>
          <w:p>
            <w:pPr>
              <w:ind w:left="240"/>
              <w:spacing w:after="0"/>
              <w:rPr>
                <w:sz w:val="20"/>
                <w:szCs w:val="20"/>
                <w:color w:val="auto"/>
              </w:rPr>
            </w:pPr>
            <w:r>
              <w:rPr>
                <w:rFonts w:ascii="Arial" w:cs="Arial" w:eastAsia="Arial" w:hAnsi="Arial"/>
                <w:sz w:val="14"/>
                <w:szCs w:val="14"/>
                <w:color w:val="auto"/>
                <w:w w:val="94"/>
              </w:rPr>
              <w:t>Chief Executive Officer—Certification pursuant to Rule 13a-14(b) or Rule 15d-14(b) of the Securities Exchange Act of 1934 and 18 U.S.C. Section 1350, as adopted pursuant to</w:t>
            </w:r>
          </w:p>
        </w:tc>
      </w:tr>
      <w:tr>
        <w:trPr>
          <w:trHeight w:val="182"/>
        </w:trPr>
        <w:tc>
          <w:tcPr>
            <w:tcW w:w="920" w:type="dxa"/>
            <w:vAlign w:val="bottom"/>
          </w:tcPr>
          <w:p>
            <w:pPr>
              <w:spacing w:after="0"/>
              <w:rPr>
                <w:sz w:val="15"/>
                <w:szCs w:val="15"/>
                <w:color w:val="auto"/>
              </w:rPr>
            </w:pPr>
          </w:p>
        </w:tc>
        <w:tc>
          <w:tcPr>
            <w:tcW w:w="10500" w:type="dxa"/>
            <w:vAlign w:val="bottom"/>
          </w:tcPr>
          <w:p>
            <w:pPr>
              <w:ind w:left="240"/>
              <w:spacing w:after="0"/>
              <w:rPr>
                <w:sz w:val="20"/>
                <w:szCs w:val="20"/>
                <w:color w:val="auto"/>
              </w:rPr>
            </w:pPr>
            <w:r>
              <w:rPr>
                <w:rFonts w:ascii="Arial" w:cs="Arial" w:eastAsia="Arial" w:hAnsi="Arial"/>
                <w:sz w:val="14"/>
                <w:szCs w:val="14"/>
                <w:color w:val="auto"/>
              </w:rPr>
              <w:t>Section 906 of the Sarbanes-Oxley Act of 2002</w:t>
            </w:r>
          </w:p>
        </w:tc>
      </w:tr>
      <w:tr>
        <w:trPr>
          <w:trHeight w:val="263"/>
        </w:trPr>
        <w:tc>
          <w:tcPr>
            <w:tcW w:w="920" w:type="dxa"/>
            <w:vAlign w:val="bottom"/>
          </w:tcPr>
          <w:p>
            <w:pPr>
              <w:spacing w:after="0"/>
              <w:rPr>
                <w:sz w:val="20"/>
                <w:szCs w:val="20"/>
                <w:color w:val="auto"/>
              </w:rPr>
            </w:pPr>
            <w:r>
              <w:rPr>
                <w:rFonts w:ascii="Arial" w:cs="Arial" w:eastAsia="Arial" w:hAnsi="Arial"/>
                <w:sz w:val="14"/>
                <w:szCs w:val="14"/>
                <w:color w:val="auto"/>
              </w:rPr>
              <w:t>32.2</w:t>
            </w:r>
          </w:p>
        </w:tc>
        <w:tc>
          <w:tcPr>
            <w:tcW w:w="10500" w:type="dxa"/>
            <w:vAlign w:val="bottom"/>
          </w:tcPr>
          <w:p>
            <w:pPr>
              <w:ind w:left="240"/>
              <w:spacing w:after="0"/>
              <w:rPr>
                <w:sz w:val="20"/>
                <w:szCs w:val="20"/>
                <w:color w:val="auto"/>
              </w:rPr>
            </w:pPr>
            <w:r>
              <w:rPr>
                <w:rFonts w:ascii="Arial" w:cs="Arial" w:eastAsia="Arial" w:hAnsi="Arial"/>
                <w:sz w:val="14"/>
                <w:szCs w:val="14"/>
                <w:color w:val="auto"/>
                <w:w w:val="94"/>
              </w:rPr>
              <w:t>Chief Financial Officer—Certification pursuant to Rule 13a-14(b) or Rule 15d-14(b) of the Securities Exchange Act of 1934 and 18 U.S.C. Section 1350, as adopted pursuant to</w:t>
            </w:r>
          </w:p>
        </w:tc>
      </w:tr>
      <w:tr>
        <w:trPr>
          <w:trHeight w:val="182"/>
        </w:trPr>
        <w:tc>
          <w:tcPr>
            <w:tcW w:w="920" w:type="dxa"/>
            <w:vAlign w:val="bottom"/>
          </w:tcPr>
          <w:p>
            <w:pPr>
              <w:spacing w:after="0"/>
              <w:rPr>
                <w:sz w:val="15"/>
                <w:szCs w:val="15"/>
                <w:color w:val="auto"/>
              </w:rPr>
            </w:pPr>
          </w:p>
        </w:tc>
        <w:tc>
          <w:tcPr>
            <w:tcW w:w="10500" w:type="dxa"/>
            <w:vAlign w:val="bottom"/>
          </w:tcPr>
          <w:p>
            <w:pPr>
              <w:ind w:left="240"/>
              <w:spacing w:after="0"/>
              <w:rPr>
                <w:sz w:val="20"/>
                <w:szCs w:val="20"/>
                <w:color w:val="auto"/>
              </w:rPr>
            </w:pPr>
            <w:r>
              <w:rPr>
                <w:rFonts w:ascii="Arial" w:cs="Arial" w:eastAsia="Arial" w:hAnsi="Arial"/>
                <w:sz w:val="14"/>
                <w:szCs w:val="14"/>
                <w:color w:val="auto"/>
              </w:rPr>
              <w:t>Section 906 of the Sarbanes-Oxley Act of 2002</w:t>
            </w:r>
          </w:p>
        </w:tc>
      </w:tr>
      <w:tr>
        <w:trPr>
          <w:trHeight w:val="446"/>
        </w:trPr>
        <w:tc>
          <w:tcPr>
            <w:tcW w:w="920" w:type="dxa"/>
            <w:vAlign w:val="bottom"/>
          </w:tcPr>
          <w:p>
            <w:pPr>
              <w:spacing w:after="0"/>
              <w:rPr>
                <w:sz w:val="20"/>
                <w:szCs w:val="20"/>
                <w:color w:val="auto"/>
              </w:rPr>
            </w:pPr>
            <w:r>
              <w:rPr>
                <w:rFonts w:ascii="Arial" w:cs="Arial" w:eastAsia="Arial" w:hAnsi="Arial"/>
                <w:sz w:val="14"/>
                <w:szCs w:val="14"/>
                <w:color w:val="auto"/>
              </w:rPr>
              <w:t>101.INS</w:t>
            </w:r>
          </w:p>
        </w:tc>
        <w:tc>
          <w:tcPr>
            <w:tcW w:w="10500" w:type="dxa"/>
            <w:vAlign w:val="bottom"/>
          </w:tcPr>
          <w:p>
            <w:pPr>
              <w:ind w:left="240"/>
              <w:spacing w:after="0"/>
              <w:rPr>
                <w:sz w:val="20"/>
                <w:szCs w:val="20"/>
                <w:color w:val="auto"/>
              </w:rPr>
            </w:pPr>
            <w:r>
              <w:rPr>
                <w:rFonts w:ascii="Arial" w:cs="Arial" w:eastAsia="Arial" w:hAnsi="Arial"/>
                <w:sz w:val="14"/>
                <w:szCs w:val="14"/>
                <w:color w:val="auto"/>
              </w:rPr>
              <w:t>XBRL Instance Document.**</w:t>
            </w:r>
          </w:p>
        </w:tc>
      </w:tr>
      <w:tr>
        <w:trPr>
          <w:trHeight w:val="297"/>
        </w:trPr>
        <w:tc>
          <w:tcPr>
            <w:tcW w:w="920" w:type="dxa"/>
            <w:vAlign w:val="bottom"/>
          </w:tcPr>
          <w:p>
            <w:pPr>
              <w:spacing w:after="0"/>
              <w:rPr>
                <w:sz w:val="20"/>
                <w:szCs w:val="20"/>
                <w:color w:val="auto"/>
              </w:rPr>
            </w:pPr>
            <w:r>
              <w:rPr>
                <w:rFonts w:ascii="Arial" w:cs="Arial" w:eastAsia="Arial" w:hAnsi="Arial"/>
                <w:sz w:val="14"/>
                <w:szCs w:val="14"/>
                <w:color w:val="auto"/>
              </w:rPr>
              <w:t>101.SCH</w:t>
            </w:r>
          </w:p>
        </w:tc>
        <w:tc>
          <w:tcPr>
            <w:tcW w:w="10500" w:type="dxa"/>
            <w:vAlign w:val="bottom"/>
          </w:tcPr>
          <w:p>
            <w:pPr>
              <w:ind w:left="240"/>
              <w:spacing w:after="0"/>
              <w:rPr>
                <w:sz w:val="20"/>
                <w:szCs w:val="20"/>
                <w:color w:val="auto"/>
              </w:rPr>
            </w:pPr>
            <w:r>
              <w:rPr>
                <w:rFonts w:ascii="Arial" w:cs="Arial" w:eastAsia="Arial" w:hAnsi="Arial"/>
                <w:sz w:val="14"/>
                <w:szCs w:val="14"/>
                <w:color w:val="auto"/>
              </w:rPr>
              <w:t>XBRL Taxonomy Extension Schema Document.**</w:t>
            </w:r>
          </w:p>
        </w:tc>
      </w:tr>
      <w:tr>
        <w:trPr>
          <w:trHeight w:val="297"/>
        </w:trPr>
        <w:tc>
          <w:tcPr>
            <w:tcW w:w="920" w:type="dxa"/>
            <w:vAlign w:val="bottom"/>
          </w:tcPr>
          <w:p>
            <w:pPr>
              <w:spacing w:after="0"/>
              <w:rPr>
                <w:sz w:val="20"/>
                <w:szCs w:val="20"/>
                <w:color w:val="auto"/>
              </w:rPr>
            </w:pPr>
            <w:r>
              <w:rPr>
                <w:rFonts w:ascii="Arial" w:cs="Arial" w:eastAsia="Arial" w:hAnsi="Arial"/>
                <w:sz w:val="14"/>
                <w:szCs w:val="14"/>
                <w:color w:val="auto"/>
              </w:rPr>
              <w:t>101.CAL</w:t>
            </w:r>
          </w:p>
        </w:tc>
        <w:tc>
          <w:tcPr>
            <w:tcW w:w="10500" w:type="dxa"/>
            <w:vAlign w:val="bottom"/>
          </w:tcPr>
          <w:p>
            <w:pPr>
              <w:ind w:left="240"/>
              <w:spacing w:after="0"/>
              <w:rPr>
                <w:sz w:val="20"/>
                <w:szCs w:val="20"/>
                <w:color w:val="auto"/>
              </w:rPr>
            </w:pPr>
            <w:r>
              <w:rPr>
                <w:rFonts w:ascii="Arial" w:cs="Arial" w:eastAsia="Arial" w:hAnsi="Arial"/>
                <w:sz w:val="14"/>
                <w:szCs w:val="14"/>
                <w:color w:val="auto"/>
              </w:rPr>
              <w:t>XBRL Taxonomy Calculation Linkbase Document.**</w:t>
            </w:r>
          </w:p>
        </w:tc>
      </w:tr>
      <w:tr>
        <w:trPr>
          <w:trHeight w:val="297"/>
        </w:trPr>
        <w:tc>
          <w:tcPr>
            <w:tcW w:w="920" w:type="dxa"/>
            <w:vAlign w:val="bottom"/>
          </w:tcPr>
          <w:p>
            <w:pPr>
              <w:spacing w:after="0"/>
              <w:rPr>
                <w:sz w:val="20"/>
                <w:szCs w:val="20"/>
                <w:color w:val="auto"/>
              </w:rPr>
            </w:pPr>
            <w:r>
              <w:rPr>
                <w:rFonts w:ascii="Arial" w:cs="Arial" w:eastAsia="Arial" w:hAnsi="Arial"/>
                <w:sz w:val="14"/>
                <w:szCs w:val="14"/>
                <w:color w:val="auto"/>
              </w:rPr>
              <w:t>101.LAB</w:t>
            </w:r>
          </w:p>
        </w:tc>
        <w:tc>
          <w:tcPr>
            <w:tcW w:w="10500" w:type="dxa"/>
            <w:vAlign w:val="bottom"/>
          </w:tcPr>
          <w:p>
            <w:pPr>
              <w:ind w:left="240"/>
              <w:spacing w:after="0"/>
              <w:rPr>
                <w:sz w:val="20"/>
                <w:szCs w:val="20"/>
                <w:color w:val="auto"/>
              </w:rPr>
            </w:pPr>
            <w:r>
              <w:rPr>
                <w:rFonts w:ascii="Arial" w:cs="Arial" w:eastAsia="Arial" w:hAnsi="Arial"/>
                <w:sz w:val="14"/>
                <w:szCs w:val="14"/>
                <w:color w:val="auto"/>
              </w:rPr>
              <w:t>XBRL Taxonomy Label Linkbase Document.**</w:t>
            </w:r>
          </w:p>
        </w:tc>
      </w:tr>
      <w:tr>
        <w:trPr>
          <w:trHeight w:val="297"/>
        </w:trPr>
        <w:tc>
          <w:tcPr>
            <w:tcW w:w="920" w:type="dxa"/>
            <w:vAlign w:val="bottom"/>
          </w:tcPr>
          <w:p>
            <w:pPr>
              <w:spacing w:after="0"/>
              <w:rPr>
                <w:sz w:val="20"/>
                <w:szCs w:val="20"/>
                <w:color w:val="auto"/>
              </w:rPr>
            </w:pPr>
            <w:r>
              <w:rPr>
                <w:rFonts w:ascii="Arial" w:cs="Arial" w:eastAsia="Arial" w:hAnsi="Arial"/>
                <w:sz w:val="14"/>
                <w:szCs w:val="14"/>
                <w:color w:val="auto"/>
              </w:rPr>
              <w:t>101.PRE</w:t>
            </w:r>
          </w:p>
        </w:tc>
        <w:tc>
          <w:tcPr>
            <w:tcW w:w="10500" w:type="dxa"/>
            <w:vAlign w:val="bottom"/>
          </w:tcPr>
          <w:p>
            <w:pPr>
              <w:ind w:left="240"/>
              <w:spacing w:after="0"/>
              <w:rPr>
                <w:sz w:val="20"/>
                <w:szCs w:val="20"/>
                <w:color w:val="auto"/>
              </w:rPr>
            </w:pPr>
            <w:r>
              <w:rPr>
                <w:rFonts w:ascii="Arial" w:cs="Arial" w:eastAsia="Arial" w:hAnsi="Arial"/>
                <w:sz w:val="14"/>
                <w:szCs w:val="14"/>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 to Exhibit 10.1 to the Registrants Current Report on Form 8-K/A filed with the Commission on September 15, 2010 (Commission file No. 000-19672).</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Confidential treatment previously requested and granted with respect to certain portions, which portions were omitted and filed separately with the Commission.</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submitted electronically herewith</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Attached as Exhibits 101 to this report are the following formatted in XBRL (Extensible Business Reporting Language): (i) Condensed Consolidated Statements of Income for the three and six months ended September 30, 2010 and 2009, (ii) Condensed Consolidated Balance Sheets at September 30, 2010 and March 31, 2010, (iii) Condensed Consolidated Statements of Cash Flows for the six months ended September 30, 2010 and 2009, (iv) Condensed Consolidated Statements of Comprehensive Income (Loss) for the three months ended September 30, 2010 and 2009 and (v) Notes to Condensed Consolidated Financial Statements.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41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840" w:val="left"/>
          <w:tab w:leader="none" w:pos="8460" w:val="left"/>
        </w:tabs>
        <w:rPr>
          <w:sz w:val="20"/>
          <w:szCs w:val="20"/>
          <w:color w:val="auto"/>
        </w:rPr>
      </w:pPr>
      <w:r>
        <w:rPr>
          <w:rFonts w:ascii="Arial" w:cs="Arial" w:eastAsia="Arial" w:hAnsi="Arial"/>
          <w:sz w:val="18"/>
          <w:szCs w:val="18"/>
          <w:color w:val="auto"/>
        </w:rPr>
        <w:t>Date: November 4,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920" w:val="left"/>
          <w:tab w:leader="none" w:pos="8660" w:val="left"/>
        </w:tabs>
        <w:rPr>
          <w:sz w:val="20"/>
          <w:szCs w:val="20"/>
          <w:color w:val="auto"/>
        </w:rPr>
      </w:pPr>
      <w:r>
        <w:rPr>
          <w:rFonts w:ascii="Arial" w:cs="Arial" w:eastAsia="Arial" w:hAnsi="Arial"/>
          <w:sz w:val="18"/>
          <w:szCs w:val="18"/>
          <w:color w:val="auto"/>
        </w:rPr>
        <w:t>Date: November 4,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-130810</wp:posOffset>
            </wp:positionV>
            <wp:extent cx="28473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firstLine="473"/>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2010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52" w:lineRule="exact"/>
        <w:rPr>
          <w:sz w:val="20"/>
          <w:szCs w:val="20"/>
          <w:color w:val="auto"/>
        </w:rPr>
      </w:pPr>
    </w:p>
    <w:p>
      <w:pPr>
        <w:ind w:left="700" w:hanging="24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2"/>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6920" w:val="left"/>
          <w:tab w:leader="none" w:pos="8560" w:val="left"/>
        </w:tabs>
        <w:rPr>
          <w:sz w:val="20"/>
          <w:szCs w:val="20"/>
          <w:color w:val="auto"/>
        </w:rPr>
      </w:pPr>
      <w:r>
        <w:rPr>
          <w:rFonts w:ascii="Arial" w:cs="Arial" w:eastAsia="Arial" w:hAnsi="Arial"/>
          <w:sz w:val="18"/>
          <w:szCs w:val="18"/>
          <w:color w:val="auto"/>
        </w:rPr>
        <w:t>Date: November 4,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-130810</wp:posOffset>
            </wp:positionV>
            <wp:extent cx="28473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473"/>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2010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52" w:lineRule="exact"/>
        <w:rPr>
          <w:sz w:val="20"/>
          <w:szCs w:val="20"/>
          <w:color w:val="auto"/>
        </w:rPr>
      </w:pPr>
    </w:p>
    <w:p>
      <w:pPr>
        <w:ind w:left="700" w:hanging="24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2"/>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6920" w:val="left"/>
          <w:tab w:leader="none" w:pos="8660" w:val="left"/>
        </w:tabs>
        <w:rPr>
          <w:sz w:val="20"/>
          <w:szCs w:val="20"/>
          <w:color w:val="auto"/>
        </w:rPr>
      </w:pPr>
      <w:r>
        <w:rPr>
          <w:rFonts w:ascii="Arial" w:cs="Arial" w:eastAsia="Arial" w:hAnsi="Arial"/>
          <w:sz w:val="18"/>
          <w:szCs w:val="18"/>
          <w:color w:val="auto"/>
        </w:rPr>
        <w:t>Date: November 4,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-130810</wp:posOffset>
            </wp:positionV>
            <wp:extent cx="28473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2019-12-10T10:24:00Z</dcterms:created>
  <dcterms:modified xsi:type="dcterms:W3CDTF">2019-12-10T10:24:00Z</dcterms:modified>
</cp:coreProperties>
</file>