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201295</wp:posOffset>
            </wp:positionV>
            <wp:extent cx="1285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189865</wp:posOffset>
            </wp:positionV>
            <wp:extent cx="1285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right"/>
        <w:ind w:left="3840" w:right="3800" w:hanging="3832"/>
        <w:spacing w:after="0" w:line="397" w:lineRule="auto"/>
        <w:tabs>
          <w:tab w:leader="none" w:pos="649"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7"/>
          <w:szCs w:val="17"/>
          <w:color w:val="auto"/>
        </w:rPr>
        <w:t>_____</w:t>
      </w:r>
      <w:r>
        <w:rPr>
          <w:rFonts w:ascii="Times New Roman" w:cs="Times New Roman" w:eastAsia="Times New Roman" w:hAnsi="Times New Roman"/>
          <w:sz w:val="17"/>
          <w:szCs w:val="17"/>
          <w:b w:val="1"/>
          <w:bCs w:val="1"/>
          <w:color w:val="auto"/>
        </w:rPr>
        <w:t xml:space="preserve"> to </w:t>
      </w:r>
      <w:r>
        <w:rPr>
          <w:rFonts w:ascii="Times New Roman" w:cs="Times New Roman" w:eastAsia="Times New Roman" w:hAnsi="Times New Roman"/>
          <w:sz w:val="17"/>
          <w:szCs w:val="17"/>
          <w:color w:val="auto"/>
        </w:rPr>
        <w:t>_____</w:t>
      </w:r>
      <w:r>
        <w:rPr>
          <w:rFonts w:ascii="Times New Roman" w:cs="Times New Roman" w:eastAsia="Times New Roman" w:hAnsi="Times New Roman"/>
          <w:sz w:val="17"/>
          <w:szCs w:val="17"/>
          <w:b w:val="1"/>
          <w:bCs w:val="1"/>
          <w:color w:val="auto"/>
        </w:rPr>
        <w:t>.</w:t>
      </w:r>
    </w:p>
    <w:p>
      <w:pPr>
        <w:spacing w:after="0" w:line="1" w:lineRule="exact"/>
        <w:rPr>
          <w:rFonts w:ascii="MS PGothic" w:cs="MS PGothic" w:eastAsia="MS PGothic" w:hAnsi="MS PGothic"/>
          <w:sz w:val="17"/>
          <w:szCs w:val="17"/>
          <w:color w:val="auto"/>
        </w:rPr>
      </w:pPr>
    </w:p>
    <w:p>
      <w:pPr>
        <w:ind w:left="428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234315</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American Superconductor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150495</wp:posOffset>
            </wp:positionV>
            <wp:extent cx="1285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340" w:type="dxa"/>
        <w:tblCellMar>
          <w:top w:w="0" w:type="dxa"/>
          <w:left w:w="0" w:type="dxa"/>
          <w:bottom w:w="0" w:type="dxa"/>
          <w:right w:w="0" w:type="dxa"/>
        </w:tblCellMar>
      </w:tblPr>
      <w:tr>
        <w:trPr>
          <w:trHeight w:val="214"/>
        </w:trPr>
        <w:tc>
          <w:tcPr>
            <w:tcW w:w="6220" w:type="dxa"/>
            <w:vAlign w:val="bottom"/>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04-2959321</w:t>
            </w:r>
          </w:p>
        </w:tc>
      </w:tr>
      <w:tr>
        <w:trPr>
          <w:trHeight w:val="148"/>
        </w:trPr>
        <w:tc>
          <w:tcPr>
            <w:tcW w:w="6220" w:type="dxa"/>
            <w:vAlign w:val="bottom"/>
          </w:tcPr>
          <w:p>
            <w:pPr>
              <w:jc w:val="center"/>
              <w:ind w:right="31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40" w:type="dxa"/>
            <w:vAlign w:val="bottom"/>
          </w:tcPr>
          <w:p>
            <w:pPr>
              <w:jc w:val="center"/>
              <w:ind w:left="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220" w:type="dxa"/>
            <w:vAlign w:val="bottom"/>
          </w:tcPr>
          <w:p>
            <w:pPr>
              <w:jc w:val="center"/>
              <w:ind w:right="31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3"/>
        </w:trPr>
        <w:tc>
          <w:tcPr>
            <w:tcW w:w="6220" w:type="dxa"/>
            <w:vAlign w:val="bottom"/>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8"/>
              </w:rPr>
              <w:t>114 East Main St. Ayer, Massachusetts</w:t>
            </w:r>
          </w:p>
        </w:tc>
        <w:tc>
          <w:tcPr>
            <w:tcW w:w="1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01432</w:t>
            </w:r>
          </w:p>
        </w:tc>
      </w:tr>
      <w:tr>
        <w:trPr>
          <w:trHeight w:val="190"/>
        </w:trPr>
        <w:tc>
          <w:tcPr>
            <w:tcW w:w="6220" w:type="dxa"/>
            <w:vAlign w:val="bottom"/>
          </w:tcPr>
          <w:p>
            <w:pPr>
              <w:jc w:val="center"/>
              <w:ind w:right="3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220" w:type="dxa"/>
            <w:vAlign w:val="bottom"/>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(978) 842-3000</w:t>
            </w:r>
          </w:p>
        </w:tc>
        <w:tc>
          <w:tcPr>
            <w:tcW w:w="1440" w:type="dxa"/>
            <w:vAlign w:val="bottom"/>
          </w:tcPr>
          <w:p>
            <w:pPr>
              <w:spacing w:after="0"/>
              <w:rPr>
                <w:sz w:val="24"/>
                <w:szCs w:val="24"/>
                <w:color w:val="auto"/>
              </w:rPr>
            </w:pPr>
          </w:p>
        </w:tc>
      </w:tr>
      <w:tr>
        <w:trPr>
          <w:trHeight w:val="190"/>
        </w:trPr>
        <w:tc>
          <w:tcPr>
            <w:tcW w:w="6220" w:type="dxa"/>
            <w:vAlign w:val="bottom"/>
          </w:tcPr>
          <w:p>
            <w:pPr>
              <w:jc w:val="center"/>
              <w:ind w:left="22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40" w:type="dxa"/>
            <w:vAlign w:val="bottom"/>
          </w:tcPr>
          <w:p>
            <w:pPr>
              <w:spacing w:after="0"/>
              <w:rPr>
                <w:sz w:val="16"/>
                <w:szCs w:val="16"/>
                <w:color w:val="auto"/>
              </w:rPr>
            </w:pP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320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1140" w:type="dxa"/>
            <w:vAlign w:val="bottom"/>
          </w:tcPr>
          <w:p>
            <w:pPr>
              <w:spacing w:after="0"/>
              <w:rPr>
                <w:sz w:val="20"/>
                <w:szCs w:val="20"/>
                <w:color w:val="auto"/>
              </w:rPr>
            </w:pPr>
          </w:p>
        </w:tc>
      </w:tr>
      <w:tr>
        <w:trPr>
          <w:trHeight w:val="191"/>
        </w:trPr>
        <w:tc>
          <w:tcPr>
            <w:tcW w:w="1120" w:type="dxa"/>
            <w:vAlign w:val="bottom"/>
          </w:tcPr>
          <w:p>
            <w:pPr>
              <w:spacing w:after="0"/>
              <w:rPr>
                <w:sz w:val="16"/>
                <w:szCs w:val="16"/>
                <w:color w:val="auto"/>
              </w:rPr>
            </w:pPr>
          </w:p>
        </w:tc>
        <w:tc>
          <w:tcPr>
            <w:tcW w:w="3200" w:type="dxa"/>
            <w:vAlign w:val="bottom"/>
          </w:tcPr>
          <w:p>
            <w:pPr>
              <w:jc w:val="center"/>
              <w:ind w:left="110"/>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1120" w:type="dxa"/>
            <w:vAlign w:val="bottom"/>
          </w:tcPr>
          <w:p>
            <w:pPr>
              <w:spacing w:after="0"/>
              <w:rPr>
                <w:sz w:val="20"/>
                <w:szCs w:val="20"/>
                <w:color w:val="auto"/>
              </w:rPr>
            </w:pPr>
          </w:p>
        </w:tc>
        <w:tc>
          <w:tcPr>
            <w:tcW w:w="32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$0.01 par value per share</w:t>
            </w:r>
          </w:p>
        </w:tc>
        <w:tc>
          <w:tcPr>
            <w:tcW w:w="224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7"/>
              </w:rPr>
              <w:t>AMSC</w:t>
            </w:r>
          </w:p>
        </w:tc>
        <w:tc>
          <w:tcPr>
            <w:tcW w:w="35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1140" w:type="dxa"/>
            <w:vAlign w:val="bottom"/>
          </w:tcPr>
          <w:p>
            <w:pPr>
              <w:spacing w:after="0"/>
              <w:rPr>
                <w:sz w:val="20"/>
                <w:szCs w:val="20"/>
                <w:color w:val="auto"/>
              </w:rPr>
            </w:pPr>
          </w:p>
        </w:tc>
      </w:tr>
      <w:tr>
        <w:trPr>
          <w:trHeight w:val="568"/>
        </w:trPr>
        <w:tc>
          <w:tcPr>
            <w:tcW w:w="11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4" w:right="339" w:bottom="1440" w:gutter="0" w:footer="0" w:header="0"/>
        </w:sectPr>
      </w:pPr>
    </w:p>
    <w:bookmarkStart w:id="1" w:name="page2"/>
    <w:bookmarkEnd w:id="1"/>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1440" w:gutter="0" w:footer="0" w:header="0"/>
        </w:sectPr>
      </w:pPr>
    </w:p>
    <w:p>
      <w:pPr>
        <w:spacing w:after="0" w:line="68" w:lineRule="exact"/>
        <w:rPr>
          <w:sz w:val="20"/>
          <w:szCs w:val="20"/>
          <w:color w:val="auto"/>
        </w:r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0"/>
          <w:szCs w:val="20"/>
          <w:color w:val="auto"/>
        </w:rPr>
      </w:pPr>
    </w:p>
    <w:p>
      <w:pPr>
        <w:sectPr>
          <w:pgSz w:w="11900" w:h="16838" w:orient="portrait"/>
          <w:cols w:equalWidth="0" w:num="2">
            <w:col w:w="5520" w:space="720"/>
            <w:col w:w="5000"/>
          </w:cols>
          <w:pgMar w:left="320" w:top="688" w:right="339" w:bottom="1440" w:gutter="0" w:footer="0" w:header="0"/>
          <w:type w:val="continuous"/>
        </w:sectPr>
      </w:pPr>
    </w:p>
    <w:p>
      <w:pPr>
        <w:ind w:left="4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2" w:lineRule="exact"/>
        <w:rPr>
          <w:sz w:val="20"/>
          <w:szCs w:val="20"/>
          <w:color w:val="auto"/>
        </w:rPr>
      </w:pPr>
    </w:p>
    <w:p>
      <w:pPr>
        <w:sectPr>
          <w:pgSz w:w="11900" w:h="16838" w:orient="portrait"/>
          <w:cols w:equalWidth="0" w:num="2">
            <w:col w:w="5520" w:space="720"/>
            <w:col w:w="5000"/>
          </w:cols>
          <w:pgMar w:left="320" w:top="688" w:right="339" w:bottom="1440" w:gutter="0" w:footer="0" w:header="0"/>
          <w:type w:val="continuous"/>
        </w:sectPr>
      </w:pPr>
    </w:p>
    <w:p>
      <w:pPr>
        <w:ind w:left="62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688" w:right="339" w:bottom="1440" w:gutter="0" w:footer="0" w:header="0"/>
          <w:type w:val="continuous"/>
        </w:sectPr>
      </w:pPr>
    </w:p>
    <w:p>
      <w:pPr>
        <w:spacing w:after="0" w:line="204" w:lineRule="exact"/>
        <w:rPr>
          <w:sz w:val="20"/>
          <w:szCs w:val="20"/>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Shares outstanding of the Registrant’s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5840" w:type="dxa"/>
            <w:vAlign w:val="bottom"/>
            <w:gridSpan w:val="2"/>
          </w:tcPr>
          <w:p>
            <w:pPr>
              <w:jc w:val="right"/>
              <w:ind w:right="2210"/>
              <w:spacing w:after="0"/>
              <w:rPr>
                <w:sz w:val="20"/>
                <w:szCs w:val="20"/>
                <w:color w:val="auto"/>
              </w:rPr>
            </w:pPr>
            <w:r>
              <w:rPr>
                <w:rFonts w:ascii="Times New Roman" w:cs="Times New Roman" w:eastAsia="Times New Roman" w:hAnsi="Times New Roman"/>
                <w:sz w:val="18"/>
                <w:szCs w:val="18"/>
                <w:color w:val="auto"/>
              </w:rPr>
              <w:t>39,459,733</w:t>
            </w:r>
          </w:p>
        </w:tc>
      </w:tr>
      <w:tr>
        <w:trPr>
          <w:trHeight w:val="232"/>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440" w:type="dxa"/>
            <w:vAlign w:val="bottom"/>
          </w:tcPr>
          <w:p>
            <w:pPr>
              <w:spacing w:after="0"/>
              <w:rPr>
                <w:sz w:val="20"/>
                <w:szCs w:val="20"/>
                <w:color w:val="auto"/>
              </w:rPr>
            </w:pPr>
          </w:p>
        </w:tc>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as of January 31, 2025</w:t>
            </w:r>
          </w:p>
        </w:tc>
      </w:tr>
      <w:tr>
        <w:trPr>
          <w:trHeight w:val="248"/>
        </w:trPr>
        <w:tc>
          <w:tcPr>
            <w:tcW w:w="5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400" w:type="dxa"/>
            <w:vAlign w:val="bottom"/>
            <w:tcBorders>
              <w:bottom w:val="single" w:sz="8" w:color="auto"/>
            </w:tcBorders>
          </w:tcPr>
          <w:p>
            <w:pPr>
              <w:spacing w:after="0"/>
              <w:rPr>
                <w:sz w:val="21"/>
                <w:szCs w:val="21"/>
                <w:color w:val="auto"/>
              </w:rPr>
            </w:pPr>
          </w:p>
        </w:tc>
      </w:tr>
      <w:tr>
        <w:trPr>
          <w:trHeight w:val="68"/>
        </w:trPr>
        <w:tc>
          <w:tcPr>
            <w:tcW w:w="5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400" w:type="dxa"/>
            <w:vAlign w:val="bottom"/>
            <w:tcBorders>
              <w:bottom w:val="single" w:sz="8" w:color="auto"/>
            </w:tcBorders>
          </w:tcPr>
          <w:p>
            <w:pPr>
              <w:spacing w:after="0"/>
              <w:rPr>
                <w:sz w:val="5"/>
                <w:szCs w:val="5"/>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PART I—FINANCIAL INFORMATION</w:t>
            </w:r>
          </w:p>
        </w:tc>
        <w:tc>
          <w:tcPr>
            <w:tcW w:w="7360" w:type="dxa"/>
            <w:vAlign w:val="bottom"/>
            <w:gridSpan w:val="5"/>
            <w:vMerge w:val="restart"/>
          </w:tcPr>
          <w:p>
            <w:pPr>
              <w:spacing w:after="0"/>
              <w:rPr>
                <w:sz w:val="20"/>
                <w:szCs w:val="20"/>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EE"/>
            </w:tcBorders>
            <w:gridSpan w:val="10"/>
            <w:vMerge w:val="continue"/>
          </w:tcPr>
          <w:p>
            <w:pPr>
              <w:spacing w:after="0"/>
              <w:rPr>
                <w:sz w:val="14"/>
                <w:szCs w:val="14"/>
                <w:color w:val="auto"/>
              </w:rPr>
            </w:pPr>
          </w:p>
        </w:tc>
        <w:tc>
          <w:tcPr>
            <w:tcW w:w="736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920" w:type="dxa"/>
            <w:vAlign w:val="bottom"/>
            <w:gridSpan w:val="8"/>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27</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PART II—OTHER INFORMATION</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7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660" w:type="dxa"/>
            <w:vAlign w:val="bottom"/>
            <w:gridSpan w:val="6"/>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508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710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Mine Safety Disclosure</w:t>
            </w:r>
          </w:p>
        </w:tc>
        <w:tc>
          <w:tcPr>
            <w:tcW w:w="772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tcBorders>
              <w:top w:val="single" w:sz="8" w:color="0000EE"/>
            </w:tcBorders>
            <w:gridSpan w:val="2"/>
          </w:tcPr>
          <w:p>
            <w:pPr>
              <w:spacing w:after="0"/>
              <w:rPr>
                <w:sz w:val="24"/>
                <w:szCs w:val="24"/>
                <w:color w:val="auto"/>
              </w:rPr>
            </w:pPr>
          </w:p>
        </w:tc>
        <w:tc>
          <w:tcPr>
            <w:tcW w:w="812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37</w:t>
            </w: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38</w:t>
            </w:r>
          </w:p>
        </w:tc>
        <w:tc>
          <w:tcPr>
            <w:tcW w:w="0" w:type="dxa"/>
            <w:vAlign w:val="bottom"/>
          </w:tcPr>
          <w:p>
            <w:pPr>
              <w:spacing w:after="0"/>
              <w:rPr>
                <w:sz w:val="1"/>
                <w:szCs w:val="1"/>
                <w:color w:val="auto"/>
              </w:rPr>
            </w:pPr>
          </w:p>
        </w:tc>
      </w:tr>
      <w:tr>
        <w:trPr>
          <w:trHeight w:val="453"/>
        </w:trPr>
        <w:tc>
          <w:tcPr>
            <w:tcW w:w="7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gridSpan w:val="12"/>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9"/>
        </w:trPr>
        <w:tc>
          <w:tcPr>
            <w:tcW w:w="8000" w:type="dxa"/>
            <w:vAlign w:val="bottom"/>
            <w:shd w:val="clear" w:color="auto" w:fill="CCEEFF"/>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75,203</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90,522</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26,325</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Inventory, net</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74,588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41,857</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7,295</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166,467</w:t>
            </w:r>
          </w:p>
        </w:tc>
      </w:tr>
      <w:tr>
        <w:trPr>
          <w:trHeight w:val="203"/>
        </w:trPr>
        <w:tc>
          <w:tcPr>
            <w:tcW w:w="8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38,390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10,861</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Intangibles, net</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6,369</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Right-of-use assets</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2,557</w:t>
            </w:r>
          </w:p>
        </w:tc>
      </w:tr>
      <w:tr>
        <w:trPr>
          <w:trHeight w:val="20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43,471</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Restricted cash</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1,290</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tax assets</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1,119</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Equity-method investments</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310,278</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232,771</w:t>
            </w:r>
          </w:p>
        </w:tc>
      </w:tr>
      <w:tr>
        <w:trPr>
          <w:trHeight w:val="20"/>
        </w:trPr>
        <w:tc>
          <w:tcPr>
            <w:tcW w:w="8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8000" w:type="dxa"/>
            <w:vAlign w:val="bottom"/>
          </w:tcPr>
          <w:p>
            <w:pPr>
              <w:ind w:left="21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29,425</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24,235</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Lease liability, current portion</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716</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Debt, current portion</w:t>
            </w:r>
          </w:p>
        </w:tc>
        <w:tc>
          <w:tcPr>
            <w:tcW w:w="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80" w:type="dxa"/>
            <w:vAlign w:val="bottom"/>
          </w:tcPr>
          <w:p>
            <w:pPr>
              <w:spacing w:after="0"/>
              <w:rPr>
                <w:sz w:val="17"/>
                <w:szCs w:val="17"/>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3,100</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74,325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78,808</w:t>
            </w:r>
          </w:p>
        </w:tc>
      </w:tr>
      <w:tr>
        <w:trPr>
          <w:trHeight w:val="203"/>
        </w:trPr>
        <w:tc>
          <w:tcPr>
            <w:tcW w:w="8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 long-term portion</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7,097</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Lease liability, long-term portion</w:t>
            </w: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1,968</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tax liabilities, long-term portion</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Pr>
          <w:p>
            <w:pPr>
              <w:spacing w:after="0"/>
              <w:rPr>
                <w:sz w:val="17"/>
                <w:szCs w:val="17"/>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117,602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88,200</w:t>
            </w:r>
          </w:p>
        </w:tc>
      </w:tr>
      <w:tr>
        <w:trPr>
          <w:trHeight w:val="196"/>
        </w:trPr>
        <w:tc>
          <w:tcPr>
            <w:tcW w:w="80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$0.01 par value, 75,000,000 shares authorized; 39,863,084 and 37,343,812 shares issued and</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39,459,733 and 36,946,181 shares outstanding at December 31, 2024 and March 31, 2024, respectively</w:t>
            </w: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373</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1,256,210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1,212,913</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stock, at cost, 403,351 and 397,631 at December 31, 2024 and March 31, 2024, respectively</w:t>
            </w:r>
          </w:p>
        </w:tc>
        <w:tc>
          <w:tcPr>
            <w:tcW w:w="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(3,639)</w:t>
            </w:r>
          </w:p>
        </w:tc>
      </w:tr>
      <w:tr>
        <w:trPr>
          <w:trHeight w:val="202"/>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1,582</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(1,061,830)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(1,066,658)</w:t>
            </w:r>
          </w:p>
        </w:tc>
      </w:tr>
      <w:tr>
        <w:trPr>
          <w:trHeight w:val="196"/>
        </w:trPr>
        <w:tc>
          <w:tcPr>
            <w:tcW w:w="800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8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192,676</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144,571</w:t>
            </w:r>
          </w:p>
        </w:tc>
        <w:tc>
          <w:tcPr>
            <w:tcW w:w="100" w:type="dxa"/>
            <w:vAlign w:val="bottom"/>
            <w:tcBorders>
              <w:top w:val="single" w:sz="8" w:color="CCEEFF"/>
            </w:tcBorders>
          </w:tcPr>
          <w:p>
            <w:pPr>
              <w:spacing w:after="0"/>
              <w:rPr>
                <w:sz w:val="17"/>
                <w:szCs w:val="17"/>
                <w:color w:val="auto"/>
              </w:rPr>
            </w:pPr>
          </w:p>
        </w:tc>
      </w:tr>
      <w:tr>
        <w:trPr>
          <w:trHeight w:val="23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310,278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232,771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61,403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156,163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103,611</w:t>
            </w: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29,369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78,759</w:t>
            </w:r>
          </w:p>
        </w:tc>
      </w:tr>
      <w:tr>
        <w:trPr>
          <w:trHeight w:val="209"/>
        </w:trPr>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24,852</w:t>
            </w: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5,693</w:t>
            </w: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23,648</w:t>
            </w: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1,614</w:t>
            </w:r>
          </w:p>
        </w:tc>
      </w:tr>
      <w:tr>
        <w:trPr>
          <w:trHeight w:val="216"/>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3,052</w:t>
            </w: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33,993</w:t>
            </w: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(9,141)</w:t>
            </w: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expense (benefit)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(9,241)</w:t>
            </w:r>
          </w:p>
        </w:tc>
      </w:t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r>
      <w:tr>
        <w:trPr>
          <w:trHeight w:val="209"/>
        </w:trPr>
        <w:tc>
          <w:tcPr>
            <w:tcW w:w="60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(9,532)</w:t>
            </w:r>
          </w:p>
        </w:tc>
      </w:tr>
      <w:tr>
        <w:trPr>
          <w:trHeight w:val="196"/>
        </w:trPr>
        <w:tc>
          <w:tcPr>
            <w:tcW w:w="6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60"/>
              <w:spacing w:after="0" w:line="216" w:lineRule="exact"/>
              <w:rPr>
                <w:sz w:val="20"/>
                <w:szCs w:val="20"/>
                <w:color w:val="auto"/>
              </w:rPr>
            </w:pPr>
            <w:r>
              <w:rPr>
                <w:rFonts w:ascii="Times New Roman" w:cs="Times New Roman" w:eastAsia="Times New Roman" w:hAnsi="Times New Roman"/>
                <w:sz w:val="14"/>
                <w:szCs w:val="14"/>
                <w:color w:val="auto"/>
              </w:rPr>
              <w:t>(0.06</w:t>
            </w:r>
            <w:r>
              <w:rPr>
                <w:rFonts w:ascii="Times New Roman" w:cs="Times New Roman" w:eastAsia="Times New Roman" w:hAnsi="Times New Roman"/>
                <w:sz w:val="25"/>
                <w:szCs w:val="25"/>
                <w:color w:val="auto"/>
                <w:vertAlign w:val="subscript"/>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14"/>
                <w:szCs w:val="14"/>
                <w:color w:val="auto"/>
              </w:rPr>
              <w:t>(0.33</w:t>
            </w:r>
            <w:r>
              <w:rPr>
                <w:rFonts w:ascii="Times New Roman" w:cs="Times New Roman" w:eastAsia="Times New Roman" w:hAnsi="Times New Roman"/>
                <w:sz w:val="25"/>
                <w:szCs w:val="25"/>
                <w:color w:val="auto"/>
                <w:vertAlign w:val="subscript"/>
              </w:rPr>
              <w:t>)</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06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line="197" w:lineRule="exact"/>
              <w:rPr>
                <w:sz w:val="20"/>
                <w:szCs w:val="20"/>
                <w:color w:val="auto"/>
              </w:rPr>
            </w:pPr>
            <w:r>
              <w:rPr>
                <w:rFonts w:ascii="Times New Roman" w:cs="Times New Roman" w:eastAsia="Times New Roman" w:hAnsi="Times New Roman"/>
                <w:sz w:val="13"/>
                <w:szCs w:val="13"/>
                <w:color w:val="auto"/>
              </w:rPr>
              <w:t>(0.06</w:t>
            </w:r>
            <w:r>
              <w:rPr>
                <w:rFonts w:ascii="Times New Roman" w:cs="Times New Roman" w:eastAsia="Times New Roman" w:hAnsi="Times New Roman"/>
                <w:sz w:val="22"/>
                <w:szCs w:val="22"/>
                <w:color w:val="auto"/>
                <w:vertAlign w:val="subscript"/>
              </w:rPr>
              <w:t>)</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197" w:lineRule="exact"/>
              <w:rPr>
                <w:sz w:val="20"/>
                <w:szCs w:val="20"/>
                <w:color w:val="auto"/>
              </w:rPr>
            </w:pPr>
            <w:r>
              <w:rPr>
                <w:rFonts w:ascii="Times New Roman" w:cs="Times New Roman" w:eastAsia="Times New Roman" w:hAnsi="Times New Roman"/>
                <w:sz w:val="13"/>
                <w:szCs w:val="13"/>
                <w:color w:val="auto"/>
              </w:rPr>
              <w:t>(0.33</w:t>
            </w:r>
            <w:r>
              <w:rPr>
                <w:rFonts w:ascii="Times New Roman" w:cs="Times New Roman" w:eastAsia="Times New Roman" w:hAnsi="Times New Roman"/>
                <w:sz w:val="22"/>
                <w:szCs w:val="22"/>
                <w:color w:val="auto"/>
                <w:vertAlign w:val="subscript"/>
              </w:rPr>
              <w:t>)</w:t>
            </w:r>
          </w:p>
        </w:tc>
      </w:tr>
      <w:tr>
        <w:trPr>
          <w:trHeight w:val="197"/>
        </w:trPr>
        <w:tc>
          <w:tcPr>
            <w:tcW w:w="6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28,728</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38,463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29,092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37,457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28,728</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gain (loss), net of tax</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(9,576)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6" w:name="page7"/>
    <w:bookmarkEnd w:id="6"/>
    <w:p>
      <w:pPr>
        <w:jc w:val="center"/>
        <w:ind w:left="340" w:right="1780"/>
        <w:spacing w:after="0" w:line="268" w:lineRule="auto"/>
        <w:rPr>
          <w:sz w:val="20"/>
          <w:szCs w:val="20"/>
          <w:color w:val="auto"/>
        </w:rPr>
      </w:pPr>
      <w:r>
        <w:rPr>
          <w:rFonts w:ascii="Times New Roman" w:cs="Times New Roman" w:eastAsia="Times New Roman" w:hAnsi="Times New Roman"/>
          <w:sz w:val="18"/>
          <w:szCs w:val="18"/>
          <w:b w:val="1"/>
          <w:bCs w:val="1"/>
          <w:color w:val="auto"/>
        </w:rPr>
        <w:t>AMERICAN SUPERCONDUCTOR CORPORATION UNAUDITED CONDENSED CONSOLIDATED STATEMENTS OF STOCKHOLDERS’ EQUITY FOR THE THREE AND NINE MONTHS ENDED DECEMBER 31, 2024 AND 2023</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6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98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0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Treasury</w:t>
            </w:r>
          </w:p>
        </w:tc>
        <w:tc>
          <w:tcPr>
            <w:tcW w:w="14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37,343</w:t>
            </w:r>
          </w:p>
        </w:tc>
        <w:tc>
          <w:tcPr>
            <w:tcW w:w="6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1,212,913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(1,066,658)</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144,571</w:t>
            </w:r>
          </w:p>
        </w:tc>
        <w:tc>
          <w:tcPr>
            <w:tcW w:w="0" w:type="dxa"/>
            <w:vAlign w:val="bottom"/>
          </w:tcPr>
          <w:p>
            <w:pPr>
              <w:spacing w:after="0"/>
              <w:rPr>
                <w:sz w:val="1"/>
                <w:szCs w:val="1"/>
                <w:color w:val="auto"/>
              </w:rPr>
            </w:pPr>
          </w:p>
        </w:tc>
      </w:tr>
      <w:tr>
        <w:trPr>
          <w:trHeight w:val="178"/>
        </w:trPr>
        <w:tc>
          <w:tcPr>
            <w:tcW w:w="3120" w:type="dxa"/>
            <w:vAlign w:val="bottom"/>
            <w:tcBorders>
              <w:top w:val="single" w:sz="8" w:color="CCEEFF"/>
            </w:tcBorders>
          </w:tcPr>
          <w:p>
            <w:pPr>
              <w:ind w:left="340"/>
              <w:spacing w:after="0" w:line="178" w:lineRule="exact"/>
              <w:rPr>
                <w:sz w:val="20"/>
                <w:szCs w:val="20"/>
                <w:color w:val="auto"/>
              </w:rPr>
            </w:pPr>
            <w:r>
              <w:rPr>
                <w:rFonts w:ascii="Times New Roman" w:cs="Times New Roman" w:eastAsia="Times New Roman" w:hAnsi="Times New Roman"/>
                <w:sz w:val="18"/>
                <w:szCs w:val="18"/>
                <w:color w:val="auto"/>
              </w:rPr>
              <w:t>Issuance of common stock –</w:t>
            </w: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shares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198"/>
        </w:trPr>
        <w:tc>
          <w:tcPr>
            <w:tcW w:w="3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401(k) match</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(2,524)</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1,214,320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(3,765)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(1,069,182)</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143,344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Issuance of common stock – ESPP</w:t>
            </w: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8"/>
        </w:trPr>
        <w:tc>
          <w:tcPr>
            <w:tcW w:w="3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shares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198"/>
        </w:trPr>
        <w:tc>
          <w:tcPr>
            <w:tcW w:w="3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401(k) match</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Megatran acquisition, net of offering</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31,189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31,202</w:t>
            </w:r>
          </w:p>
        </w:tc>
        <w:tc>
          <w:tcPr>
            <w:tcW w:w="0" w:type="dxa"/>
            <w:vAlign w:val="bottom"/>
          </w:tcPr>
          <w:p>
            <w:pPr>
              <w:spacing w:after="0"/>
              <w:rPr>
                <w:sz w:val="1"/>
                <w:szCs w:val="1"/>
                <w:color w:val="auto"/>
              </w:rPr>
            </w:pPr>
          </w:p>
        </w:tc>
      </w:tr>
      <w:tr>
        <w:trPr>
          <w:trHeight w:val="198"/>
        </w:trPr>
        <w:tc>
          <w:tcPr>
            <w:tcW w:w="3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to settle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6,504</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1,253,168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(1,064,295)</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187,015</w:t>
            </w:r>
          </w:p>
        </w:tc>
        <w:tc>
          <w:tcPr>
            <w:tcW w:w="0" w:type="dxa"/>
            <w:vAlign w:val="bottom"/>
          </w:tcPr>
          <w:p>
            <w:pPr>
              <w:spacing w:after="0"/>
              <w:rPr>
                <w:sz w:val="1"/>
                <w:szCs w:val="1"/>
                <w:color w:val="auto"/>
              </w:rPr>
            </w:pPr>
          </w:p>
        </w:tc>
      </w:tr>
      <w:tr>
        <w:trPr>
          <w:trHeight w:val="178"/>
        </w:trPr>
        <w:tc>
          <w:tcPr>
            <w:tcW w:w="3120" w:type="dxa"/>
            <w:vAlign w:val="bottom"/>
            <w:tcBorders>
              <w:top w:val="single" w:sz="8" w:color="CCEEFF"/>
            </w:tcBorders>
          </w:tcPr>
          <w:p>
            <w:pPr>
              <w:ind w:left="340"/>
              <w:spacing w:after="0" w:line="178" w:lineRule="exact"/>
              <w:rPr>
                <w:sz w:val="20"/>
                <w:szCs w:val="20"/>
                <w:color w:val="auto"/>
              </w:rPr>
            </w:pPr>
            <w:r>
              <w:rPr>
                <w:rFonts w:ascii="Times New Roman" w:cs="Times New Roman" w:eastAsia="Times New Roman" w:hAnsi="Times New Roman"/>
                <w:sz w:val="18"/>
                <w:szCs w:val="18"/>
                <w:color w:val="auto"/>
              </w:rPr>
              <w:t>Issuance of common stock –</w:t>
            </w: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198"/>
        </w:trPr>
        <w:tc>
          <w:tcPr>
            <w:tcW w:w="3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401(k) match</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1,256,210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(1,061,830)</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192,676</w:t>
            </w:r>
          </w:p>
        </w:tc>
        <w:tc>
          <w:tcPr>
            <w:tcW w:w="0" w:type="dxa"/>
            <w:vAlign w:val="bottom"/>
          </w:tcPr>
          <w:p>
            <w:pPr>
              <w:spacing w:after="0"/>
              <w:rPr>
                <w:sz w:val="1"/>
                <w:szCs w:val="1"/>
                <w:color w:val="auto"/>
              </w:rPr>
            </w:pPr>
          </w:p>
        </w:tc>
      </w:tr>
      <w:tr>
        <w:trPr>
          <w:trHeight w:val="413"/>
        </w:trPr>
        <w:tc>
          <w:tcPr>
            <w:tcW w:w="312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5"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1600" w:type="dxa"/>
            <w:vAlign w:val="bottom"/>
            <w:tcBorders>
              <w:bottom w:val="single" w:sz="8" w:color="auto"/>
            </w:tcBorders>
            <w:gridSpan w:val="3"/>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108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Paid-in</w:t>
            </w:r>
          </w:p>
        </w:tc>
        <w:tc>
          <w:tcPr>
            <w:tcW w:w="80" w:type="dxa"/>
            <w:vAlign w:val="bottom"/>
          </w:tcPr>
          <w:p>
            <w:pPr>
              <w:spacing w:after="0"/>
              <w:rPr>
                <w:sz w:val="16"/>
                <w:szCs w:val="16"/>
                <w:color w:val="auto"/>
              </w:rPr>
            </w:pPr>
          </w:p>
        </w:tc>
        <w:tc>
          <w:tcPr>
            <w:tcW w:w="920" w:type="dxa"/>
            <w:vAlign w:val="bottom"/>
            <w:gridSpan w:val="2"/>
          </w:tcPr>
          <w:p>
            <w:pPr>
              <w:jc w:val="right"/>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5"/>
              </w:rPr>
              <w:t>Treasury</w:t>
            </w:r>
          </w:p>
        </w:tc>
        <w:tc>
          <w:tcPr>
            <w:tcW w:w="142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300" w:type="dxa"/>
            <w:vAlign w:val="bottom"/>
            <w:gridSpan w:val="4"/>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Par 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29,937</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1,139,113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1,571</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(1,055,547)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81,797</w:t>
            </w:r>
          </w:p>
        </w:tc>
        <w:tc>
          <w:tcPr>
            <w:tcW w:w="0" w:type="dxa"/>
            <w:vAlign w:val="bottom"/>
          </w:tcPr>
          <w:p>
            <w:pPr>
              <w:spacing w:after="0"/>
              <w:rPr>
                <w:sz w:val="1"/>
                <w:szCs w:val="1"/>
                <w:color w:val="auto"/>
              </w:rPr>
            </w:pPr>
          </w:p>
        </w:tc>
      </w:tr>
      <w:tr>
        <w:trPr>
          <w:trHeight w:val="178"/>
        </w:trPr>
        <w:tc>
          <w:tcPr>
            <w:tcW w:w="3120" w:type="dxa"/>
            <w:vAlign w:val="bottom"/>
            <w:tcBorders>
              <w:top w:val="single" w:sz="8" w:color="CCEEFF"/>
            </w:tcBorders>
          </w:tcPr>
          <w:p>
            <w:pPr>
              <w:ind w:left="340"/>
              <w:spacing w:after="0" w:line="178" w:lineRule="exact"/>
              <w:rPr>
                <w:sz w:val="20"/>
                <w:szCs w:val="20"/>
                <w:color w:val="auto"/>
              </w:rPr>
            </w:pPr>
            <w:r>
              <w:rPr>
                <w:rFonts w:ascii="Times New Roman" w:cs="Times New Roman" w:eastAsia="Times New Roman" w:hAnsi="Times New Roman"/>
                <w:sz w:val="18"/>
                <w:szCs w:val="18"/>
                <w:color w:val="auto"/>
              </w:rPr>
              <w:t>Issuance of common stock –</w:t>
            </w: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198"/>
        </w:trPr>
        <w:tc>
          <w:tcPr>
            <w:tcW w:w="3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401(k) match</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(5,398)</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(5,398)</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30,669</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1,140,626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1,569</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(1,060,945)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77,918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Issuance of common stock – ESPP</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7"/>
                <w:szCs w:val="17"/>
                <w:color w:val="auto"/>
              </w:rPr>
            </w:pPr>
          </w:p>
        </w:tc>
        <w:tc>
          <w:tcPr>
            <w:tcW w:w="9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401(k) match</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(2,485)</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30,716</w:t>
            </w:r>
          </w:p>
        </w:tc>
        <w:tc>
          <w:tcPr>
            <w:tcW w:w="220" w:type="dxa"/>
            <w:vAlign w:val="bottom"/>
          </w:tcPr>
          <w:p>
            <w:pPr>
              <w:spacing w:after="0"/>
              <w:rPr>
                <w:sz w:val="18"/>
                <w:szCs w:val="18"/>
                <w:color w:val="auto"/>
              </w:rPr>
            </w:pP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1,142,023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1,633</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(1,063,430)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76,894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1,140</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198"/>
        </w:trPr>
        <w:tc>
          <w:tcPr>
            <w:tcW w:w="31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401(k) match</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Issuance of common stock - stock</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3,088</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(1,649)</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31,134</w:t>
            </w:r>
          </w:p>
        </w:tc>
        <w:tc>
          <w:tcPr>
            <w:tcW w:w="220" w:type="dxa"/>
            <w:vAlign w:val="bottom"/>
          </w:tcPr>
          <w:p>
            <w:pPr>
              <w:spacing w:after="0"/>
              <w:rPr>
                <w:sz w:val="18"/>
                <w:szCs w:val="18"/>
                <w:color w:val="auto"/>
              </w:rPr>
            </w:pP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1,146,405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(3,639)</w:t>
            </w: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1,527</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(1,065,079)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79,525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December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operations: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Earnings from equity method investments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3,052</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non-cash items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 and liability accounts: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(10,836)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(8,737)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(15,409)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to settle Megatran contingent consideration liability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for Megatran Acquisition, net of cash acquired</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(29,577)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other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(34,064)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(643)</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treasury stock</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debt</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related to registration of common stock shares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employee stock options and ESPP</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10"/>
        </w:trPr>
        <w:tc>
          <w:tcPr>
            <w:tcW w:w="8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(12,240)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80,040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25,025</w:t>
            </w:r>
          </w:p>
        </w:tc>
      </w:tr>
      <w:tr>
        <w:trPr>
          <w:trHeight w:val="196"/>
        </w:trPr>
        <w:tc>
          <w:tcPr>
            <w:tcW w:w="80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schedule of cash flow information: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common stock in connection with the purchase of Megatran</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31,350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to settle contingent consideration</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6,504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Right-of-use assets obtained in exchange for new lease obligations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to settle 401k match liabilities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Operations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the Business and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 and protect and expand the capability of the Navy’s fleet. The Company’s system level products leverage its proprietary “smart materials” and “smart software and controls” to provide enhanced resiliency and improved performance of megawatt-scale power flow.</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of the Company have been prepared on a going concern basis in accordance with United States generally accepted accounting principles (“GAAP”) and the Securities and Exchange Commission’s (“SEC”) instructions to Form 10-Q. Certain prior period amounts were reclassified to conform to the presentation in the current period. All significant intercompany accounts and transactions are eliminated in consolidation. Investments in entities in which we do not have a controlling interest are accounted for under the equity method of accounting. The going concern basis of presentation assumes that the Company will continue operations and will be able to realize its assets and discharge its liabilities and commitments in the normal course of business. Certain information and footnote disclosures normally included in the condensed consolidated financial statements prepared in accordance with GAAP have been omitted pursuant to those instructions. The year-end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December 31, 2024 and 2023 and the financial position at December 31, 2024; however, these results are not necessarily indicative of results which may be expected for the full year. The interim condensed consolidated financial statements, and notes thereto, should be read in conjunction with the audited condensed consolidated financial statements for the year ended March 31, 2024, and notes thereto, included in the Company’s Annual Report on Form 10-K for the year ended March 31, 2024 filed with the SEC on May 29,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historically experienced recurring operating losses and as of December 31, 2024, the Company had an accumulated deficit of $1,061.8 million. In addition, the Company has historically experienced recurring negative operating cash flows. At December 31, 2024, the Company had cash and cash equivalents of $75.2 million. Cash provided by operations for the nine months ended December 31, 2024 was $22.0 million.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January 2024, the Company filed a shelf registration statement on Form S-3 that will expire three years from the date on which it was declared effective, March 15, 2027 (the “First Form S-3”). The First Form S-3 allows the Company to offer and sell from time-to-time up to $250 million of common stock, debt securities, warrants or units comprised of any combination of these securities, with $250 million available for future offerings as of December 31, 2024. The First Form S-3 is intended to provide the Company flexibility to conduct registered sales of its securities, subject to market conditions, in order to fund its future capital needs. The terms of any future offering under the First Form S-3 will be established at the time of such offering and will be described in a prospectus supplement filed with the SEC prior to the completion of any such offering.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31, 2024, the Company entered into an underwriting agreement with Oppenheimer &amp; Co. Inc., as a representative of the several underwriters named therein, relating to the issuance and sale (the "2024 Offering") of 6,210,000 shares of the Company's common stock at a public offering price of $11.25 per share. The net proceeds to the Company from the 2024 Offering were approximately $65.2 million, after deducting underwriting discounts and commissions and offering expenses payable by the Company. The 2024 Offering closed on February 14, 2024.</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August 1, 2024 (the "Acquisition Date"), the Company entered into a Stock Purchase Agreement (the “Stock Purchase Agreement”) with the selling stockholders named therein. Pursuant to the terms of the Stock Purchase Agreement and concurrently with entering into such agreement, the Company acquired all of the issued and outstanding shares of Megatran Industries, Inc. ("Megatran") (the "Acquisition"), for aggregate consideration in an amount equal to $61.4 million (the “Purchase Price”), which consideration amount was subject to various adjustments set forth in the Stock Purchase Agreement (including those described below) and consisted of: (a) (i) $25.0 million, minus (ii) the Indebtedness (as defined in the Stock Purchase Agreement) outstanding as of immediately prior to the closing, minus (iii) Company Expenses (as defined in the Stock Purchase Agreement) (collectively, the “Cash Purchase Price”); (b) a number of restricted shares (rounded up or down to the nearest whole share, as applicable) (the “Company Shares”) of the Company’s common stock, $.01 par value per share (“Common Stock”) equal to the quotient obtained by dividing (x) $31.4 million (the “Share Purchase Price”) by (y) the closing price per share of Common Stock on the Nasdaq Global Select Market on the last trading day immediately preceding the Acquisition Date; and (c) an additional cash payment equal to $5.0 million, as adjusted pursuant to Sections 5.6(c), (d), and (f) of the Stock Purchase Agreement (the “Additional Cash Purchase Price”). Megatran is now a wholly-owned subsidiary of the Company and, together with its wholly-owned subsidiaries and affiliates, is operated and reported as a component of its Grid business segment. On September 23, 2024, the Company paid $3.3 million to the selling stockholders, which was calculated based on the agreed upon formula set forth in the Stock Purchase Agreement. This amount is reflected as the change in fair value of this contingent consideration in the nine months ended December 31, 2024. As of December 31, 2024, there are no remaining obligations to the selling stockholders of Megatran.</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2024, the Company filed an automatically-effective shelf registration statement on Form S-3 that will expire no later than August 12, 2027 (the “Second Form S-3”). The Second Form S-3 allows the Company to offer and sell from time-to-time unspecified amounts of common stock, debt securities, warrants or units comprised of any combination of these securities and allows certain selling stockholders to offer and sell from time-to-time common stock. The Second Form S-3 assisted the Megatran selling stockholders in the resale of their common stock and is intended to provide the Company flexibility to conduct registered sales of its securities, subject to market conditions, in order to fund its future capital needs. The terms of any future offering under the Second Form S-3 will be established at the time of such offering and will be described in a prospectus supplement filed with the SEC prior to the completion of any such offering.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macroeconomic conditions arising from various reasons, such as the ongoing wars between Russia and Ukraine and Israel and Hamas, labor force availability, sourcing, material delays and global supply chain disruptions could have a material adverse effect on the Company’s business,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576" w:right="339" w:bottom="0"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believes that based on the information presented above and its quarterly management assessment, it has sufficient liquidity to fund its operations and capital expenditures for the next twelve months following the issuance of the unaudited condensed consolidated financial statements for the nine months ended December 31, 2024. The Company’s liquidity is highly dependent on its ability to increase revenues, its ability to control its operating costs, and its ability to raise additional capital, if necessary. The impact of global sources of instability, including the wars between Russia and Ukraine and Israel and Hamas,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Megatran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in Note 1, Nature of the Business and Operations and Liquidity, on the Acquisition Date, the Company acquired all of the issued and outstanding shares of capital stock of Megatran. Megatran's wholly-owned subsidiary, NWL, Inc. ("NWL"), is a U.S.-based global provider of engineered power conversion solutions for demanding industrial and military applications.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Stock Purchase Agreement, the Company acquired all of the issued and outstanding shares of Megatran, for aggregate consideration in an amount equal to $61.4 million, which consideration amount was subject to various adjustments set forth in the Stock Purchase Agreement (including those described below) and consisted of: (a) (i) $25.0 million, minus (ii) the Indebtedness (as defined in the Stock Purchase Agreement) outstanding as of immediately prior to the closing, minus (iii) Company Expenses (as defined in the Stock Purchase Agreement); (b) a number of restricted shares (rounded up or down to the nearest whole share, as applicable) of Common Stock equal to the quotient obtained by dividing (x) $31.4 million by (y) the closing price per share of Common Stock on the Nasdaq Global Select Market on the last trading day immediately preceding the Acquisition Date; and (c) an additional cash payment equal to $5.0 million, as adjusted pursuant to Sections 5.6(c), (d), and (f) of the Stock Purchase Agreement. Megatran is now a wholly-owned subsidiary of the Company and, together with its wholly-owned subsidiaries and affiliates, is operated and reported as a component of its Grid business segment. On September 23, 2024, the Company paid $3.3 million to the selling stockholders, which was calculated based on the agreed upon formula set forth in the Stock Purchase Agreement. This amount is reflected as the change in fair value of this contingent consideration in the nine months ended December 31, 2024. As of December 31, 2024, there are no remaining obligations to the selling stockholders of Megatran.</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has been accounted for under the purchase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allocated the purchase price to the assets acquired and liabilities assumed at their estimated fair values as of the date of acquisition. The excess of the purchase price paid by the Company over the estimated fair value of net assets acquired has been recorded as goodwill.</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purchase price of approximately $61.4 million includes the fair value of shares of the Company’s common stock issued at closing, and cash paid, as follows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40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$30.0</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1,297,600 shares of Company’s Common Stock</w:t>
            </w:r>
          </w:p>
        </w:tc>
        <w:tc>
          <w:tcPr>
            <w:tcW w:w="40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$31.4</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Acquisition Date, in addition to the $30.0 million cash, the Company valued the Company’s common stock, using $24.16 per share, which was the closing price on the day prior to the day that the Company acquired Megatran. Acquisition costs of less than $0.1 million and $1.1 million were included in selling, general and administrative ("SG&amp;A") for the three and nine months ended December 31, 2024, respectively.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purchase price based on the estimated fair values of the assets acquired and liabilities assumed and related deferred income taxes in connection with the Acquisition as of the Acquisition Date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Equity-method investments</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6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tangible assets/(liabilities)</w:t>
            </w:r>
          </w:p>
        </w:tc>
        <w:tc>
          <w:tcPr>
            <w:tcW w:w="33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top w:val="single" w:sz="8" w:color="CCEEFF"/>
            </w:tcBorders>
          </w:tcPr>
          <w:p>
            <w:pPr>
              <w:spacing w:after="0"/>
              <w:rPr>
                <w:sz w:val="18"/>
                <w:szCs w:val="18"/>
                <w:color w:val="auto"/>
              </w:rPr>
            </w:pPr>
          </w:p>
        </w:tc>
      </w:tr>
      <w:tr>
        <w:trPr>
          <w:trHeight w:val="216"/>
        </w:trPr>
        <w:tc>
          <w:tcPr>
            <w:tcW w:w="63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3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identifiable intangible assets</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3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34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r>
    </w:tbl>
    <w:p>
      <w:pPr>
        <w:spacing w:after="0" w:line="1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financial assets acquired includes receivables with a fair value of $16.1 million. The gross amount due is $16.9 million, of which $0.8 million is expected to be uncollectible.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Inventory includes a $0.7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inventory step up adjustment increased cost of revenue $0.4 million and $0.7 million in the three and nine months ended December 31, 2024, respectively, as the inventory was sold.</w:t>
      </w:r>
    </w:p>
    <w:p>
      <w:pPr>
        <w:sectPr>
          <w:pgSz w:w="11900" w:h="16838" w:orient="portrait"/>
          <w:cols w:equalWidth="0" w:num="1">
            <w:col w:w="11240"/>
          </w:cols>
          <w:pgMar w:left="320" w:top="607" w:right="339" w:bottom="0" w:gutter="0" w:footer="0" w:header="0"/>
        </w:sectPr>
      </w:pPr>
    </w:p>
    <w:bookmarkStart w:id="12" w:name="page13"/>
    <w:bookmarkEnd w:id="12"/>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Backlog of $0.7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an eight-month period with the expense being allocated to cost of revenues.</w:t>
      </w:r>
    </w:p>
    <w:p>
      <w:pPr>
        <w:spacing w:after="0" w:line="176"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Customer relationships of $1.3 million relates to customers currently under contract and was determined based on a multi period excess earnings method under the income approach. The method of amortization being utilized is straight line over 10 years, as the results were not materially different from the economic consumption method, with the expense being allocated to SG&amp;A.</w:t>
      </w:r>
    </w:p>
    <w:p>
      <w:pPr>
        <w:spacing w:after="0" w:line="176" w:lineRule="exact"/>
        <w:rPr>
          <w:sz w:val="20"/>
          <w:szCs w:val="20"/>
          <w:color w:val="auto"/>
        </w:rPr>
      </w:pPr>
    </w:p>
    <w:p>
      <w:pPr>
        <w:jc w:val="both"/>
        <w:ind w:left="20" w:firstLine="648"/>
        <w:spacing w:after="0" w:line="255" w:lineRule="auto"/>
        <w:rPr>
          <w:sz w:val="20"/>
          <w:szCs w:val="20"/>
          <w:color w:val="auto"/>
        </w:rPr>
      </w:pPr>
      <w:r>
        <w:rPr>
          <w:rFonts w:ascii="Times New Roman" w:cs="Times New Roman" w:eastAsia="Times New Roman" w:hAnsi="Times New Roman"/>
          <w:sz w:val="18"/>
          <w:szCs w:val="18"/>
          <w:color w:val="auto"/>
        </w:rPr>
        <w:t>Goodwill represents the value associated with the acquired workforce and expected synergies related to the business combination of the two companies. Goodwill resulting from the Acquisition was assigned to the Company’s Grid business segment. Goodwill recognized in the Acquisition is not deductible for tax purposes. This purchase price allocation is preliminary and has not been finalized as the analysis on the assets and liabilities acquired, primarily the tax related liability may require further adjustments to our purchase accounting that could result in a measurement period adjustment that would impact the Company's reported net assets and goodwill as of August 1, 2024. Material changes, if any, to the preliminary allocation summarized above will be reported once the related uncertainties are resolved, but no later than August 1, 2025. The $6.4 million of deferred tax liability is primarily related to basis difference of property, plant, and equipment.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Operating Results</w:t>
      </w:r>
    </w:p>
    <w:p>
      <w:pPr>
        <w:spacing w:after="0" w:line="200" w:lineRule="exact"/>
        <w:rPr>
          <w:sz w:val="20"/>
          <w:szCs w:val="20"/>
          <w:color w:val="auto"/>
        </w:rPr>
      </w:pPr>
    </w:p>
    <w:p>
      <w:pPr>
        <w:spacing w:after="0" w:line="243"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consolidated statement of operations for the three and nine months ended December 31, 2024 and 2023 presented as if the Acquisition had occurred on April 1, 2023, is as follows: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61,403</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179,435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158,789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(7,077)</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Shares - basic</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30,390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30,026</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 diluted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38,463</w:t>
            </w:r>
          </w:p>
        </w:tc>
        <w:tc>
          <w:tcPr>
            <w:tcW w:w="26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30,726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38,037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30,405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The pro forma amounts include the historical operating results of the Company and Megatran with appropriate adjustments that give effect to acquisition related costs, income taxes, intangible amortization resulting from the Acquisition and certain conforming accounting policies of the Company. The pro forma amounts are not necessarily indicative of the operating results that would have occurred if the Acquisition and related transactions had been completed at the beginning of the applicable periods presented. In addition, the pro forma amounts are not necessarily indicative of operating results in future periods.</w:t>
      </w:r>
    </w:p>
    <w:p>
      <w:pPr>
        <w:spacing w:after="0" w:line="183"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In the unaudited consolidated results for the three and nine months ended December 31, 2024, Megatran’s operations are included in the Company’s consolidated results from the date of Acquisition of August 1, 2024. Megatran contributed $18.3 million of revenue and $1.9 million in net income for the Company for the three months ended December 31, 2024. Megatran contributed $32.4 million of revenue and $3.9 million in net income for the Company for the nine months ended December 31, 2024. Amortization expense of $0.3 million and $0.5 million is included in the three and nine months ended December 31, 2024, respectively, as a result of the Megatran acquired intangible assets. In addition, $0.4 million and $0.7 million for the step-up basis assigned to acquired inventory was charged to cost of revenues in the three and nine months ended December 31, 2024, respectively.</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29" w:lineRule="exact"/>
        <w:rPr>
          <w:sz w:val="20"/>
          <w:szCs w:val="20"/>
          <w:color w:val="auto"/>
        </w:rPr>
      </w:pPr>
    </w:p>
    <w:p>
      <w:pPr>
        <w:jc w:val="both"/>
        <w:ind w:left="20" w:firstLine="648"/>
        <w:spacing w:after="0" w:line="253" w:lineRule="auto"/>
        <w:rPr>
          <w:sz w:val="20"/>
          <w:szCs w:val="20"/>
          <w:color w:val="auto"/>
        </w:rPr>
      </w:pPr>
      <w:r>
        <w:rPr>
          <w:rFonts w:ascii="Times New Roman" w:cs="Times New Roman" w:eastAsia="Times New Roman" w:hAnsi="Times New Roman"/>
          <w:sz w:val="18"/>
          <w:szCs w:val="18"/>
          <w:color w:val="auto"/>
        </w:rPr>
        <w:t>The Company’s revenues in its Grid business segment are derived primarily through enabling the transmission and distribution of power, providing planning services that allow it to identify power grid needs and risks, and developing ship protection systems for the U.S. Navy. The Company’s revenues in its Wind business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Accounting Standards Codification ("ASC") 606.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For the three and nine months ended December 31, 2024, 87% and 88% of revenue, respectively, was recognized at the point in time when control transferred to the customer, with the remainder being recognized over time. For the three and nine months ended December 31, 2023, 85% and 80% of revenue, respectively, was recognized at the point in time when control transferred to the customer, with the remainder being recognized over time.</w:t>
      </w:r>
    </w:p>
    <w:p>
      <w:pPr>
        <w:spacing w:after="0" w:line="194"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spacing w:after="0" w:line="187" w:lineRule="exact"/>
        <w:rPr>
          <w:sz w:val="20"/>
          <w:szCs w:val="20"/>
          <w:color w:val="auto"/>
        </w:rPr>
      </w:pPr>
    </w:p>
    <w:p>
      <w:pPr>
        <w:jc w:val="both"/>
        <w:ind w:left="20" w:firstLine="648"/>
        <w:spacing w:after="0" w:line="255" w:lineRule="auto"/>
        <w:rPr>
          <w:sz w:val="20"/>
          <w:szCs w:val="20"/>
          <w:color w:val="auto"/>
        </w:rPr>
      </w:pPr>
      <w:r>
        <w:rPr>
          <w:rFonts w:ascii="Times New Roman" w:cs="Times New Roman" w:eastAsia="Times New Roman" w:hAnsi="Times New Roman"/>
          <w:sz w:val="18"/>
          <w:szCs w:val="18"/>
          <w:color w:val="auto"/>
        </w:rPr>
        <w:t>In the Company's service and technology development product line, there are several different types of transactions and each begins with a contract with a customer that summarizes each product sold to a customer, which typically represents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the profit cannot be assured throughout the entire contract then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w:t>
      </w:r>
    </w:p>
    <w:p>
      <w:pPr>
        <w:sectPr>
          <w:pgSz w:w="11900" w:h="16838" w:orient="portrait"/>
          <w:cols w:equalWidth="0" w:num="1">
            <w:col w:w="11260"/>
          </w:cols>
          <w:pgMar w:left="300" w:top="121" w:right="339" w:bottom="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not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provides assurance-type warranties on all product sales for a term of typically one to three years, and extended service-type warranties are available for purchase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As of December 31, 2024 and March 31, 2024, the Company's capitalized incremental contract costs were not material. The Company has elected not to adjust the promised amount of consideration for the effects of a significant financing component if the period of financing is twelve months or less. The Company has elected to recognize revenue based on the as invoiced practical expedient if there is a right to consideration from a customer in an amount that corresponds directly with the value of the Company's performance.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by product line and by shipment destination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Grid</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Wind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Grid</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systems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48,979</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123,431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23,357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Services and technology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3,327</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8,147</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52,306</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131,578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24,585</w:t>
            </w:r>
          </w:p>
        </w:tc>
      </w:tr>
      <w:tr>
        <w:trPr>
          <w:trHeight w:val="196"/>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47,737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121,696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2,276</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52,306</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131,578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24,585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Grid</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Wind</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Grid</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systems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31,210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81,181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Services and technology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2,393</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6,673</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33,603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87,854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15,757</w:t>
            </w: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26,782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74,640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5,660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8,832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15,587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3,117</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4,382</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33,603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87,854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and 2023,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8, “Accounts Receivable” and Note 9,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Unbilled Accounts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Program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Contract</w:t>
            </w:r>
          </w:p>
        </w:tc>
      </w:tr>
      <w:tr>
        <w:trPr>
          <w:trHeight w:val="238"/>
        </w:trPr>
        <w:tc>
          <w:tcPr>
            <w:tcW w:w="6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March 31, 2024</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2,523</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57,829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Increase for balance acquired</w:t>
            </w: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for costs incurred to fulfill performance obligations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10,876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due to customer billings</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(7,139)</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96,400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due to cost recognition on completed performance obligations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due to recognition of revenue based on transfer of control of</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performance obligations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(75,410)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changes and FX impact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w:t>
            </w: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balance as of December 31, 2024</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83,328</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Unbilled Accounts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Program</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Contract</w:t>
            </w:r>
          </w:p>
        </w:tc>
      </w:tr>
      <w:tr>
        <w:trPr>
          <w:trHeight w:val="238"/>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20"/>
                <w:szCs w:val="20"/>
                <w:color w:val="auto"/>
              </w:rPr>
            </w:pPr>
          </w:p>
        </w:tc>
      </w:tr>
      <w:tr>
        <w:trPr>
          <w:trHeight w:val="20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as of March 31, 2023</w:t>
            </w:r>
          </w:p>
        </w:tc>
        <w:tc>
          <w:tcPr>
            <w:tcW w:w="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9,958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50,760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Increases for costs incurred to fulfill performance obligations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due to customer billings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(18,354)</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55,018</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Decrease due to cost recognition on completed performance obligations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(decrease) due to recognition of revenue based on transfer of control of</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obligations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12,969</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(46,190)</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Other changes and FX impact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6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 as of December 31, 2023</w:t>
            </w:r>
          </w:p>
        </w:tc>
        <w:tc>
          <w:tcPr>
            <w:tcW w:w="4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4,588</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1,337</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59,743</w:t>
            </w:r>
          </w:p>
        </w:tc>
      </w:tr>
      <w:tr>
        <w:trPr>
          <w:trHeight w:val="413"/>
        </w:trPr>
        <w:tc>
          <w:tcPr>
            <w:tcW w:w="6040" w:type="dxa"/>
            <w:vAlign w:val="bottom"/>
            <w:tcBorders>
              <w:top w:val="single" w:sz="8" w:color="CCEEFF"/>
            </w:tcBorders>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0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6" w:name="page17"/>
    <w:bookmarkEnd w:id="1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December 31, 2024, the Company had outstanding performance obligations on existing contracts under ASC 606 to be recognized in the next twelve months of approximately $204.2 million. There are also approximately $96.6 million of outstanding performance obligations to be recognized over a period of thirteen to sixty months. The remaining performance obligations are subject to customer actions and therefore the timing of revenue recognition cannot be reasonably estimated.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customers who represented 10% or more of the Company’s total revenues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4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520" w:type="dxa"/>
            <w:vAlign w:val="bottom"/>
          </w:tcPr>
          <w:p>
            <w:pPr>
              <w:spacing w:after="0"/>
              <w:rPr>
                <w:sz w:val="20"/>
                <w:szCs w:val="20"/>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Reportable</w:t>
            </w:r>
          </w:p>
        </w:tc>
        <w:tc>
          <w:tcPr>
            <w:tcW w:w="274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09"/>
        </w:trPr>
        <w:tc>
          <w:tcPr>
            <w:tcW w:w="3520" w:type="dxa"/>
            <w:vAlign w:val="bottom"/>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Inox Wind Limited</w:t>
            </w:r>
          </w:p>
        </w:tc>
        <w:tc>
          <w:tcPr>
            <w:tcW w:w="2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4"/>
              </w:rPr>
              <w:t>Wind</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Innomotics LLC</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Grid</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&lt;10%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&lt;10%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&lt;10%</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Stock-Based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accounts for its stock-based compensation at fair value. The following table summarizes stock-based compensation expense by financial statement line item for the three and nine months ended December 31,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2,909</w:t>
            </w: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3,608</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issued 30,000 shares and 872,500 shares of restricted stock during the three and nine months ended December 31, 2024, respectively. The Company issued no shares and 19,200 shares of immediately vested common stock during the three and nine months ended December 31, 2024, respectively. The Company issued no shares and 681,500 shares of restricted stock during the three and nine months ended December 31, 2023, respectively. No shares of immediately vested common stock were issued during the three months ended December 31, 2023 and 53,675 shares of immediately vested common stock were issued during the nine months ended December 31, 2023.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estimated fair value of the Company’s stock-based awards, less expected annual forfeitures, is amortized over the awards’ service period. There were no unrecognized compensation costs for unvested stock options as of December 31, 2024. The total unrecognized compensation cost for unvested outstanding restricted stock was $18.2 million as of December 31, 2024. This expense will be recognized over a weighted-average expense period of approximately 1.6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The Company granted no stock options during the three and nine months ended December 31, 2024 and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Computation of Net Income (Loss) per Common Share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Basic net income (loss) per share (“EPS”) is computed by dividing net income (loss) by the weighted-average number of common shares outstanding for the period. Where applicable, diluted EPS is computed by dividing the net income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not met are excluded from the computation of diluted EPS as the effect of their inclusion would be anti-dilutive. For the three months ended December 31, 2024, 475,971 shares were not included in the calculation of diluted EPS. Of these, 475,971 were shares of performance-based restricted stock where the contingency was not met. For the nine months ended December 31, 2024, 471,985 shares were not included in the calculation of diluted EPS. Of these, 471,768 were shares of performance-based restricted stock where the contingency was not met. 217 shares relate to outstanding stock awards that were considered anti-dilutive. For each of the three and nine months ended December 31, 2023, 336,206 shares were not included in the calculation of diluted EPS. Of these, 300,000 relate to shares associated with the contingent consideration derivative liability for which the contingency had not yet been met, and 36,206 relate to outstanding stock options as they were considered anti-dilutive.</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of the earnings per share calculation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39,450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30,180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subject to repurchase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(1,452)</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per-share calculation ― basic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37,661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29,092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28,728</w:t>
            </w: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per-share calculation ― diluted</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38,463</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29,092</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37,457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28,728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 basic</w:t>
            </w:r>
          </w:p>
        </w:tc>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197" w:lineRule="exact"/>
              <w:rPr>
                <w:sz w:val="20"/>
                <w:szCs w:val="20"/>
                <w:color w:val="auto"/>
              </w:rPr>
            </w:pPr>
            <w:r>
              <w:rPr>
                <w:rFonts w:ascii="Times New Roman" w:cs="Times New Roman" w:eastAsia="Times New Roman" w:hAnsi="Times New Roman"/>
                <w:sz w:val="13"/>
                <w:szCs w:val="13"/>
                <w:color w:val="auto"/>
              </w:rPr>
              <w:t>(0.06</w:t>
            </w:r>
            <w:r>
              <w:rPr>
                <w:rFonts w:ascii="Times New Roman" w:cs="Times New Roman" w:eastAsia="Times New Roman" w:hAnsi="Times New Roman"/>
                <w:sz w:val="22"/>
                <w:szCs w:val="22"/>
                <w:color w:val="auto"/>
                <w:vertAlign w:val="subscript"/>
              </w:rPr>
              <w:t>)</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197" w:lineRule="exact"/>
              <w:rPr>
                <w:sz w:val="20"/>
                <w:szCs w:val="20"/>
                <w:color w:val="auto"/>
              </w:rPr>
            </w:pPr>
            <w:r>
              <w:rPr>
                <w:rFonts w:ascii="Times New Roman" w:cs="Times New Roman" w:eastAsia="Times New Roman" w:hAnsi="Times New Roman"/>
                <w:sz w:val="13"/>
                <w:szCs w:val="13"/>
                <w:color w:val="auto"/>
              </w:rPr>
              <w:t>(0.33</w:t>
            </w:r>
            <w:r>
              <w:rPr>
                <w:rFonts w:ascii="Times New Roman" w:cs="Times New Roman" w:eastAsia="Times New Roman" w:hAnsi="Times New Roman"/>
                <w:sz w:val="22"/>
                <w:szCs w:val="22"/>
                <w:color w:val="auto"/>
                <w:vertAlign w:val="subscript"/>
              </w:rPr>
              <w:t>)</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(0.33)</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ind w:left="140" w:right="140" w:firstLine="486"/>
        <w:spacing w:after="0" w:line="256" w:lineRule="auto"/>
        <w:rPr>
          <w:sz w:val="20"/>
          <w:szCs w:val="20"/>
          <w:color w:val="auto"/>
        </w:rPr>
      </w:pPr>
      <w:r>
        <w:rPr>
          <w:rFonts w:ascii="Times New Roman" w:cs="Times New Roman" w:eastAsia="Times New Roman" w:hAnsi="Times New Roman"/>
          <w:sz w:val="18"/>
          <w:szCs w:val="18"/>
          <w:color w:val="auto"/>
        </w:rPr>
        <w:t>Goodwill represents the difference between the purchase price and the fair value of the identifiable tangible and intangible net assets when accounted for using the purchase method of accounting. Goodwill is not amortized but reviewed for impairment. The Company's goodwill balance relates to the Megatran Acquisition in fiscal 2024, the Neeltran acquisition in fiscal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Northeast Power Systems, Inc. ("NEPSI") acquisition in fiscal 2020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the acquisition of Infinia Technology Corporation in fiscal 2017 and is reported in the Grid business segment. Goodwill is reviewed annually on February 28th and whenever events or changes in circumstances indicate that the carrying value of the goodwill might not be recoverable. There were no changes to goodwill during the year ended March 31, 2024.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00" w:type="dxa"/>
            <w:vAlign w:val="bottom"/>
          </w:tcPr>
          <w:p>
            <w:pPr>
              <w:spacing w:after="0"/>
              <w:rPr>
                <w:sz w:val="20"/>
                <w:szCs w:val="20"/>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4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43,471</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Megatran Acquisition</w:t>
            </w:r>
          </w:p>
        </w:tc>
        <w:tc>
          <w:tcPr>
            <w:tcW w:w="4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Pr>
          <w:p>
            <w:pPr>
              <w:spacing w:after="0"/>
              <w:rPr>
                <w:sz w:val="18"/>
                <w:szCs w:val="18"/>
                <w:color w:val="auto"/>
              </w:rPr>
            </w:pPr>
          </w:p>
        </w:tc>
      </w:tr>
      <w:tr>
        <w:trPr>
          <w:trHeight w:val="249"/>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4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record impairment in the three and nine months ended December 31,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Intangibles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at December 31, 2024 and March 31, 2024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2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6"/>
                <w:szCs w:val="16"/>
                <w:color w:val="auto"/>
              </w:rPr>
            </w:pPr>
          </w:p>
        </w:tc>
        <w:tc>
          <w:tcPr>
            <w:tcW w:w="124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220" w:type="dxa"/>
            <w:vAlign w:val="bottom"/>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00" w:type="dxa"/>
            <w:vAlign w:val="bottom"/>
          </w:tcPr>
          <w:p>
            <w:pPr>
              <w:spacing w:after="0"/>
              <w:rPr>
                <w:sz w:val="16"/>
                <w:szCs w:val="16"/>
                <w:color w:val="auto"/>
              </w:rPr>
            </w:pPr>
          </w:p>
        </w:tc>
      </w:tr>
      <w:tr>
        <w:trPr>
          <w:trHeight w:val="238"/>
        </w:trPr>
        <w:tc>
          <w:tcPr>
            <w:tcW w:w="2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0"/>
        </w:trPr>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Backlog</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Trade name and trademarks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(7,577)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(6,649)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2,951</w:t>
            </w:r>
          </w:p>
        </w:tc>
        <w:tc>
          <w:tcPr>
            <w:tcW w:w="9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7-10</w:t>
            </w:r>
          </w:p>
        </w:tc>
        <w:tc>
          <w:tcPr>
            <w:tcW w:w="100" w:type="dxa"/>
            <w:vAlign w:val="bottom"/>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Core technology and know-how</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(4,714)</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(4,352)</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w:t>
            </w:r>
          </w:p>
        </w:tc>
        <w:tc>
          <w:tcPr>
            <w:tcW w:w="9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6"/>
              </w:rPr>
              <w:t>5-10</w:t>
            </w:r>
          </w:p>
        </w:tc>
        <w:tc>
          <w:tcPr>
            <w:tcW w:w="100" w:type="dxa"/>
            <w:vAlign w:val="bottom"/>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500" w:type="dxa"/>
            <w:vAlign w:val="bottom"/>
            <w:tcBorders>
              <w:lef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6,369</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
        </w:trPr>
        <w:tc>
          <w:tcPr>
            <w:tcW w:w="28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recorded intangible amortization expense related to customer relationship and core technology and know-how of $0.4 million and $1.3 million in the three and nine months ended December 31, 2024, respectively. The Company recorded intangible amortization expense related to customer relationship and core technology and know-how of $0.5 million and $1.6 million in the three and nine months ended December 31, 2023, respectively. The Company recorded $0.3 million and $0.4 million of intangible amortization in cost of revenue related to backlog during the three and nine months ended December 31, 2024, respectively. The Company recorded no amortization expense related to backlog during the three months ended December 31, 2023 and less than $0.1 million related to backlog was reported in cost of revenues during the nine months ended December 31,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Expected future amortization expense related to intangible assets is as follows (in thousands):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March 31,</w:t>
            </w:r>
          </w:p>
        </w:tc>
        <w:tc>
          <w:tcPr>
            <w:tcW w:w="1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r>
      <w:tr>
        <w:trPr>
          <w:trHeight w:val="21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1,213</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249"/>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intangible assets relate entirely to the Grid business segment operations in the United States.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A valuation hierarchy for disclosure of the inputs to valuation used to measure fair value has been established. This hierarchy prioritizes the inputs into three broad levels as follows: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Inputs are unadjusted quoted prices in active markets for identical assets or liabilities that the Company has the ability to access at</w:t>
            </w:r>
          </w:p>
        </w:tc>
      </w:tr>
      <w:tr>
        <w:trPr>
          <w:trHeight w:val="234"/>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measurement date.</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Inputs include quoted prices for similar assets and liabilities in active markets, quoted prices for identical or similar assets or</w:t>
            </w: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 in markets that are not active, inputs other than quoted prices that are observable for the asset or liability, and inputs that</w:t>
            </w:r>
          </w:p>
        </w:tc>
      </w:tr>
      <w:tr>
        <w:trPr>
          <w:trHeight w:val="234"/>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are derived principally from or corroborated by observable market data by correlation or other means (market corroborated inputs).</w:t>
            </w:r>
          </w:p>
        </w:tc>
      </w:tr>
      <w:tr>
        <w:trPr>
          <w:trHeight w:val="414"/>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Unobservable inputs that reflect the Company’s assumptions that market participants would use in pricing the asset or liability. The</w:t>
            </w:r>
          </w:p>
        </w:tc>
      </w:tr>
      <w:tr>
        <w:trPr>
          <w:trHeight w:val="234"/>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develops these inputs based on the best information available, including its own data.</w:t>
            </w:r>
          </w:p>
        </w:tc>
      </w:tr>
    </w:tbl>
    <w:p>
      <w:pPr>
        <w:spacing w:after="0" w:line="198"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 total cash and investments. The Company did not have any transfers of assets and liabilities from Level 1, Level 2 or Level 3 of the fair value measurement hierarchy during the three or nine months ended December 31, 2024.</w:t>
      </w:r>
    </w:p>
    <w:p>
      <w:pPr>
        <w:spacing w:after="0" w:line="183"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A financial asset’s or liability’s classification within the hierarchy is determined based on the lowest level input that is significant to the fair value 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Techniques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Cash equivalents consist of highly liquid instruments with maturities of three months or less that are regarded as high quality, low risk investments and are measured using such inputs as quoted prices and are classified within Level 1 of the valuation hierarchy. Cash equivalents consist principally of certificates of deposits and money market accounts.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jc w:val="both"/>
        <w:ind w:right="80" w:firstLine="648"/>
        <w:spacing w:after="0" w:line="254" w:lineRule="auto"/>
        <w:rPr>
          <w:sz w:val="20"/>
          <w:szCs w:val="20"/>
          <w:color w:val="auto"/>
        </w:rPr>
      </w:pPr>
      <w:r>
        <w:rPr>
          <w:rFonts w:ascii="Times New Roman" w:cs="Times New Roman" w:eastAsia="Times New Roman" w:hAnsi="Times New Roman"/>
          <w:sz w:val="18"/>
          <w:szCs w:val="18"/>
          <w:color w:val="auto"/>
        </w:rPr>
        <w:t>Contingent consideration related to the earnout payment set forth in the NEPSI Stock Purchase Agreement governing the acquisition of NEPSI provided that the selling stockholders may have received up to an additional 1,000,000 shares of common stock of the Company upon the achievement of certain specified revenue objectives over varying periods of up to four years following the NEPSI acquisition date which must have occurred by September 30, 2024. Contingent consideration related to the make whole payment set forth in the Megatran Stock Purchase Agreement provided that the selling stockholders would be made whole for any costs or taxes as a result of the orderly distribution process. We classified contingent consideration related to certain acquisitions within level 3 of the fair value hierarchy because the fair value is derived using significant unobservable inputs, which include revenue risk premium and revenue volatility. See Note 15, "Contingent Consideration" for further discussion. As of September 30, 2024, the Company had settled all outstanding contingent consideration.</w:t>
      </w:r>
    </w:p>
    <w:p>
      <w:pPr>
        <w:spacing w:after="0" w:line="1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846" w:right="259" w:bottom="1440" w:gutter="0" w:footer="0" w:header="0"/>
        </w:sectPr>
      </w:pPr>
    </w:p>
    <w:bookmarkStart w:id="20" w:name="page21"/>
    <w:bookmarkEnd w:id="20"/>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assets and liabilities carried at fair value on a recurring basis, measured as of December 31, 2024 and March 31,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3"/>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10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1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52,495</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52,495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0"/>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Quoted Prices</w:t>
            </w: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8"/>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3"/>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10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09"/>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6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1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72,832</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72,832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9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3,100</w:t>
            </w:r>
          </w:p>
        </w:tc>
      </w:tr>
    </w:tbl>
    <w:p>
      <w:pPr>
        <w:spacing w:after="0" w:line="198" w:lineRule="exact"/>
        <w:rPr>
          <w:sz w:val="20"/>
          <w:szCs w:val="20"/>
          <w:color w:val="auto"/>
        </w:rPr>
      </w:pPr>
    </w:p>
    <w:p>
      <w:pPr>
        <w:ind w:left="140" w:right="140" w:firstLine="499"/>
        <w:spacing w:after="0" w:line="282" w:lineRule="auto"/>
        <w:rPr>
          <w:sz w:val="20"/>
          <w:szCs w:val="20"/>
          <w:color w:val="auto"/>
        </w:rPr>
      </w:pPr>
      <w:r>
        <w:rPr>
          <w:rFonts w:ascii="Times New Roman" w:cs="Times New Roman" w:eastAsia="Times New Roman" w:hAnsi="Times New Roman"/>
          <w:sz w:val="18"/>
          <w:szCs w:val="18"/>
          <w:color w:val="auto"/>
        </w:rPr>
        <w:t>The table below reflects the activity for the Company’s contingent consideration derivative liability measured at fair value on a recurring basis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Megatran</w:t>
            </w:r>
          </w:p>
        </w:tc>
      </w:tr>
      <w:tr>
        <w:trPr>
          <w:trHeight w:val="216"/>
        </w:trPr>
        <w:tc>
          <w:tcPr>
            <w:tcW w:w="800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NEPSI Acquisition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Contingent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contingent consideration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contingent consideration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(3,278)</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Accounts Receivable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at December 31, 2024 and March 31, 2024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Pr>
          <w:p>
            <w:pPr>
              <w:spacing w:after="0"/>
              <w:rPr>
                <w:sz w:val="20"/>
                <w:szCs w:val="20"/>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(billed)</w:t>
            </w:r>
          </w:p>
        </w:tc>
        <w:tc>
          <w:tcPr>
            <w:tcW w:w="4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39,022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20,175</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(unbilled)</w:t>
            </w:r>
          </w:p>
        </w:tc>
        <w:tc>
          <w:tcPr>
            <w:tcW w:w="4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6,150</w:t>
            </w:r>
          </w:p>
        </w:tc>
      </w:tr>
      <w:tr>
        <w:trPr>
          <w:trHeight w:val="250"/>
        </w:trPr>
        <w:tc>
          <w:tcPr>
            <w:tcW w:w="3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4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13"/>
        </w:trPr>
        <w:tc>
          <w:tcPr>
            <w:tcW w:w="3880" w:type="dxa"/>
            <w:vAlign w:val="bottom"/>
          </w:tcPr>
          <w:p>
            <w:pPr>
              <w:spacing w:after="0"/>
              <w:rPr>
                <w:sz w:val="24"/>
                <w:szCs w:val="24"/>
                <w:color w:val="auto"/>
              </w:rPr>
            </w:pPr>
          </w:p>
        </w:tc>
        <w:tc>
          <w:tcPr>
            <w:tcW w:w="414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9.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net of reserves, at December 31, 2024 and March 31, 2024 consisted of the following (in thousands):</w:t>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materials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Finished goods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program costs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r>
      <w:tr>
        <w:trPr>
          <w:trHeight w:val="191"/>
        </w:trPr>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38,013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20,622</w:t>
            </w: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14,872</w:t>
            </w:r>
          </w:p>
        </w:tc>
      </w:tr>
      <w:tr>
        <w:trPr>
          <w:trHeight w:val="216"/>
        </w:trPr>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3,840</w:t>
            </w:r>
          </w:p>
        </w:tc>
      </w:tr>
      <w:tr>
        <w:trPr>
          <w:trHeight w:val="234"/>
        </w:trPr>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2,523</w:t>
            </w:r>
          </w:p>
        </w:tc>
      </w:tr>
      <w:tr>
        <w:trPr>
          <w:trHeight w:val="210"/>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74,588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41,857</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-719455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-445135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-161925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300" w:space="720"/>
            <w:col w:w="3220"/>
          </w:cols>
          <w:pgMar w:left="320" w:top="846"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inventory write-downs of $0.4 million and $0.5 million for the three months ended December 31, 2024 and 2023, respectively. The Company recorded inventory write-downs of $1.2 million and $1.5 million for the nine months ended December 31, 2024 and 2023, respectively. These write-downs were based on the Company's evaluation of its inventory on hand for excess quantities and obsolescence.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Deferred program costs as of December 31, 2024 and March 31, 2024 primarily represent costs incurred on programs where the Company needs to complete performance obligations before the related revenue and costs will be recognized.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Prepaid and Other Current Assets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fiscal 2022, the Company conducted an analysis as to whether it was entitled to employee retention credits (“ERC”) under the CARES Act as amended by the Taxpayer Certainty and Disaster Tax Relief Act of 2020 and the American Rescue Plan Act of 2021. Based on the analysis, the Company determined that it was entitled to an ERC of approximately $3.3 million related to payroll taxes paid in the first and second quarters of 2021 and the first quarter of 2020. The Company determined it met all the criteria required under the gross receipts test of the applicable Internal Revenue Service regulations related to ERCs.</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accounting for payroll tax credits are not within the scope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the Company has chosen to account for the ERCs by analogizing to the International Accounting Standards Board IAS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 In accordance with IAS 20, an entity recognizes government grants only when there is reasonable assurance that the entity will comply with the conditions attached to them and the grants will be received. The Company evaluated its eligibility for the ERC and determined that it met all the criteria to claim a refundable tax credit against the employer portion of Social Security taxes for up to 70% of the qualified wages the Company paid to employees for the three month periods ended March 31, 2021 and June 30, 2021 and for up to 50% of the qualified wages the Company paid to employees for the three month period ended March 31, 2020.</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a $3.3 million receivable in prepaid expenses and other current assets and a benefit of $1.8 million to cost of revenues, $0.8 million to selling, general, and administrative and $0.7 million to research and development in the fiscal year ended March 31, 2023 for the ERC that was expected to be received based on the amended filings. During the year ended March 31, 2024, the Company received $3.0 million for the initial claims that were processed. During the nine months ended December 31, 2024, the Company did not receive any cash for the remaining $0.3 million balance of initial claims that were processed. The remaining balance is expected to be received during fiscal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11. Property, Plant and Equipment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cost and accumulated depreciation of property, plant and equipment at December 31, 2024 and March 31, 2024 are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 – equipment</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48,123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44,095</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w:t>
            </w:r>
          </w:p>
        </w:tc>
        <w:tc>
          <w:tcPr>
            <w:tcW w:w="100" w:type="dxa"/>
            <w:vAlign w:val="bottom"/>
          </w:tcPr>
          <w:p>
            <w:pPr>
              <w:spacing w:after="0"/>
              <w:rPr>
                <w:sz w:val="18"/>
                <w:szCs w:val="18"/>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88,528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59,233</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(50,138)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(48,372)</w:t>
            </w:r>
          </w:p>
        </w:tc>
      </w:tr>
      <w:tr>
        <w:trPr>
          <w:trHeight w:val="24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Depreciation expense was $0.9 million and $0.6 million for the three months ended December 31, 2024 and 2023, respectively. Depreciation expense was $2.3 million and $1.7 million for the nine months ended December 31, 2024 and 2023, respectively. The increase in land relates to the property added as part of the Megatran Acquisition.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Equity-Method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NWL Pacific Inc. Co., LTD</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 50% ownership in NWL Pacific Inc. Co., LTD ("NWL Pacific"). The investment represents the Company's interest in NWL Pacific. The investment is a joint venture in South Korea established on May 12, 1998.</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treats the equity investment in the condensed consolidated financial statements under the equity method. Equity method investments are equity securities in entities the Company does not control but over which it has the ability to exercise significant influence. These investments are accounted for under the equity method of accounting in accordance with ASC 323,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 Method and Joint Ventures</w:t>
      </w:r>
      <w:r>
        <w:rPr>
          <w:rFonts w:ascii="Times New Roman" w:cs="Times New Roman" w:eastAsia="Times New Roman" w:hAnsi="Times New Roman"/>
          <w:sz w:val="18"/>
          <w:szCs w:val="18"/>
          <w:color w:val="auto"/>
        </w:rPr>
        <w:t>. Equity method investments are measured at cost minus impairment, if any, plus or minus the Company’s share of an investee’s income or loss, less distributions received. As of December 31, 2024 the Company did not have material accounts receivable nor accounts payable balances with NWL Pacific.</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tables below present the summarized financial information from the date of acquisition through December 31, 2024, as provided to the</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Company by the investee, for the unconsolidated company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80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December</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 December</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Accounts Payable and Accrued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 at December 31, 2024 and March 31, 2024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inventories in-transit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other miscellaneous expenses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loss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Advanced deposits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10,326</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warranty</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2,363</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24,235</w:t>
            </w:r>
          </w:p>
        </w:tc>
      </w:tr>
      <w:tr>
        <w:trPr>
          <w:trHeight w:val="20"/>
        </w:trPr>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272" w:gutter="0" w:footer="0" w:header="0"/>
        </w:sectPr>
      </w:pPr>
    </w:p>
    <w:bookmarkStart w:id="23" w:name="page24"/>
    <w:bookmarkEnd w:id="23"/>
    <w:p>
      <w:pPr>
        <w:jc w:val="right"/>
        <w:ind w:right="640"/>
        <w:spacing w:after="0"/>
        <w:rPr>
          <w:sz w:val="20"/>
          <w:szCs w:val="20"/>
          <w:color w:val="auto"/>
        </w:rPr>
      </w:pPr>
      <w:r>
        <w:rPr>
          <w:rFonts w:ascii="Times New Roman" w:cs="Times New Roman" w:eastAsia="Times New Roman" w:hAnsi="Times New Roman"/>
          <w:sz w:val="18"/>
          <w:szCs w:val="18"/>
          <w:color w:val="auto"/>
        </w:rPr>
        <w:t>Product warranty activity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warranty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for warranties during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Settlements during the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42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220" w:type="dxa"/>
            <w:vAlign w:val="bottom"/>
          </w:tcPr>
          <w:p>
            <w:pPr>
              <w:spacing w:after="0"/>
              <w:rPr>
                <w:sz w:val="20"/>
                <w:szCs w:val="20"/>
                <w:color w:val="auto"/>
              </w:rPr>
            </w:pPr>
          </w:p>
        </w:tc>
        <w:tc>
          <w:tcPr>
            <w:tcW w:w="24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191"/>
        </w:trPr>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3,110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1,892</w:t>
            </w:r>
          </w:p>
        </w:tc>
        <w:tc>
          <w:tcPr>
            <w:tcW w:w="22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2,363</w:t>
            </w:r>
          </w:p>
        </w:tc>
        <w:tc>
          <w:tcPr>
            <w:tcW w:w="22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2,638</w:t>
            </w:r>
          </w:p>
        </w:tc>
        <w:tc>
          <w:tcPr>
            <w:tcW w:w="60" w:type="dxa"/>
            <w:vAlign w:val="bottom"/>
          </w:tcPr>
          <w:p>
            <w:pPr>
              <w:spacing w:after="0"/>
              <w:rPr>
                <w:sz w:val="16"/>
                <w:szCs w:val="16"/>
                <w:color w:val="auto"/>
              </w:rPr>
            </w:pPr>
          </w:p>
        </w:tc>
      </w:tr>
      <w:tr>
        <w:trPr>
          <w:trHeight w:val="216"/>
        </w:trPr>
        <w:tc>
          <w:tcPr>
            <w:tcW w:w="22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1,122</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1,212</w:t>
            </w:r>
          </w:p>
        </w:tc>
      </w:tr>
      <w:tr>
        <w:trPr>
          <w:trHeight w:val="234"/>
        </w:trPr>
        <w:tc>
          <w:tcPr>
            <w:tcW w:w="22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(1,079)</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09"/>
        </w:trPr>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3,043</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60" w:type="dxa"/>
            <w:vAlign w:val="bottom"/>
          </w:tcPr>
          <w:p>
            <w:pPr>
              <w:spacing w:after="0"/>
              <w:rPr>
                <w:sz w:val="18"/>
                <w:szCs w:val="18"/>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-719455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-445135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-162560</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43" w:lineRule="exact"/>
        <w:rPr>
          <w:sz w:val="20"/>
          <w:szCs w:val="20"/>
          <w:color w:val="auto"/>
        </w:rPr>
      </w:pPr>
    </w:p>
    <w:p>
      <w:pPr>
        <w:sectPr>
          <w:pgSz w:w="11900" w:h="16838" w:orient="portrait"/>
          <w:cols w:equalWidth="0" w:num="2">
            <w:col w:w="5340" w:space="720"/>
            <w:col w:w="5180"/>
          </w:cols>
          <w:pgMar w:left="320" w:top="607" w:right="339" w:bottom="636" w:gutter="0" w:footer="0" w:header="0"/>
        </w:sectPr>
      </w:pPr>
    </w:p>
    <w:p>
      <w:pPr>
        <w:spacing w:after="0" w:line="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income tax benefit of $0.1 million and $4.9 million in the three and nine months ended December 31, 2024, respectively, and income tax expense of $0.1 million $0.3 million in the three and nine months ended December 31, 2023, respectively.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a difference in book and tax basis related to the intangible assets acquired in the Acquisition (see Note 2, "Acquisition"), the Company recorded a deferred tax liability of $6.4 million. As a result, the Company was able to benefit from additional deferred tax assets and therefore released a corresponding valuation allowance of $5.2 million during the nine months ended December 31, 2024. The purchase price allocation is preliminary and has not been finalized as the analysis on the assets and liabilities acquired, primarily the tax related liability, may require further adjustments to the Company's purchase accounting that could result in measurement period adjustments that would impact the Company's reported net assets and goodwill as of August 1,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Material changes, if any, to the preliminary allocation summarized in Note 2, "Acquisition" will be reported once the related uncertainties are resolved, but no later than August 1, 2025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Goodwill recognized in the Acquisition, is not deductible for tax purposes.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Accounting for income taxes requires a two-step approach to recognizing and measuring uncertain tax positions. The first step is to evaluate the tax position for recognition by determining if, based on the technical merits, it is more likely than not the position will be sustained upon audit, including resolution of related appeals or litigation processes, if any. The second step is to measure the tax benefit as the largest amount that is more than 50% likely to be realized upon ultimate settlement. The Company re-evaluates these uncertain tax positions on a quarterly basis. The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nine months ended December 31, 2024 and did not have any gross unrecognized tax benefits as of December 31,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Contingent Consideration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NEPSI Contingent Considerations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October 1, 2020 (the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NEPSI is a wholly-owned subsidiary of the Company and is operated by its Grid business segment. The purchase price was $26.0 million in cash and 873,657 restricted shares of common stock of the Company. As part of the transaction, the selling stockholders were entitled to receive up to an additional 1,000,000 shares of common stock of the Company upon the achievement of certain specified revenue objectives during varying periods of up to four years following closing of the NEPSI Acquisition. During the year ended March 31, 2024, the Company issued 399,999 shares of common stock and cash in lieu of a fractional share of common stock, related to the achievement of specified revenue objectives in connection with the NEPSI Acquisition. NEPSI recognized revenues in excess of $120.0 million during the four years after the NEPSI Acquisition Date. As a result, during the quarter ended September 30, 2024, the Company issued 300,000 shares of common stock of the Company to the selling stockholders, following certification of the achievement of the specified earnout revenue objective. As of September 30, 2024, the Company had settled all outstanding contingent consideration under the NEPSI Stock Purchase Agreement.</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evaluated the NEPSI Acquisition earnout payment set forth in the NEPSI Stock Purchase Agreement, which was expected to require settlement in the Company's common stock, and determined the contingent consideration qualified for liability classification and derivative treatment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a result, for the periods in which the Company had outstanding contingent consideration, the fair value of the contingent consideration was remeasured and the resulting gain or loss was recognized in operating expenses until the share amount is fixed.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Megatran Contingent Consideration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entered into a Stock Purchase Agreement with the selling stockholders of Megatran named therein. Pursuant to the terms of the Stock Purchase Agreement and concurrently with entering into such agreement, the Company acquired all of the issued and outstanding shares of Megatran for aggregate consideration in an amount equal to $61.4 million which consideration amount was subject to various adjustments set forth in the Stock Purchase Agreement. The value of the contingent consideration to make the sellers whole was determined to be de minimis at the time of the Acquisition. On September 23, 2024, the Company paid $3.3 million to the selling stockholders, which was calculated based on the agreed upon formula set forth in the Stock Purchase Agreement. This amount is reflected as the change in fair value of this contingent consideration in the three and six months ended September 30, 2024. As of September 30, 2024, there were no remaining obligations to the selling stockholders of Megatran.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636" w:gutter="0" w:footer="0" w:header="0"/>
          <w:type w:val="continuous"/>
        </w:sectPr>
      </w:pPr>
    </w:p>
    <w:bookmarkStart w:id="24" w:name="page25"/>
    <w:bookmarkEnd w:id="2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is a summary of the key assumptions used in a Monte Carlo simulation to calculate the fair value of the contingent consideration related to the NEPSI Acquisition:</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660" w:type="dxa"/>
            <w:vAlign w:val="bottom"/>
            <w:gridSpan w:val="2"/>
          </w:tcPr>
          <w:p>
            <w:pPr>
              <w:jc w:val="center"/>
              <w:ind w:right="56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16"/>
        </w:trPr>
        <w:tc>
          <w:tcPr>
            <w:tcW w:w="3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2024</w:t>
            </w:r>
          </w:p>
        </w:tc>
        <w:tc>
          <w:tcPr>
            <w:tcW w:w="15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80" w:type="dxa"/>
            <w:vAlign w:val="bottom"/>
            <w:tcBorders>
              <w:bottom w:val="single" w:sz="8" w:color="CCEEFF"/>
            </w:tcBorders>
            <w:shd w:val="clear" w:color="auto" w:fill="CCEEFF"/>
          </w:tcPr>
          <w:p>
            <w:pPr>
              <w:spacing w:after="0"/>
              <w:rPr>
                <w:sz w:val="18"/>
                <w:szCs w:val="18"/>
                <w:color w:val="auto"/>
              </w:rPr>
            </w:pPr>
          </w:p>
        </w:tc>
      </w:tr>
      <w:tr>
        <w:trPr>
          <w:trHeight w:val="20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Revenue risk premium</w:t>
            </w:r>
          </w:p>
        </w:tc>
        <w:tc>
          <w:tcPr>
            <w:tcW w:w="1520" w:type="dxa"/>
            <w:vAlign w:val="bottom"/>
          </w:tcPr>
          <w:p>
            <w:pPr>
              <w:spacing w:after="0"/>
              <w:rPr>
                <w:sz w:val="18"/>
                <w:szCs w:val="18"/>
                <w:color w:val="auto"/>
              </w:rPr>
            </w:pPr>
          </w:p>
        </w:tc>
        <w:tc>
          <w:tcPr>
            <w:tcW w:w="6660" w:type="dxa"/>
            <w:vAlign w:val="bottom"/>
            <w:gridSpan w:val="2"/>
          </w:tcPr>
          <w:p>
            <w:pPr>
              <w:jc w:val="right"/>
              <w:ind w:right="552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15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jc w:val="right"/>
              <w:ind w:right="552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gridSpan w:val="2"/>
          </w:tcPr>
          <w:p>
            <w:pPr>
              <w:jc w:val="right"/>
              <w:ind w:right="5660"/>
              <w:spacing w:after="0"/>
              <w:rPr>
                <w:sz w:val="20"/>
                <w:szCs w:val="20"/>
                <w:color w:val="auto"/>
              </w:rPr>
            </w:pPr>
            <w:r>
              <w:rPr>
                <w:rFonts w:ascii="Times New Roman" w:cs="Times New Roman" w:eastAsia="Times New Roman" w:hAnsi="Times New Roman"/>
                <w:sz w:val="18"/>
                <w:szCs w:val="18"/>
                <w:color w:val="auto"/>
              </w:rPr>
              <w:t>23.39</w:t>
            </w:r>
          </w:p>
        </w:tc>
      </w:tr>
      <w:tr>
        <w:trPr>
          <w:trHeight w:val="216"/>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delay (days)</w:t>
            </w:r>
          </w:p>
        </w:tc>
        <w:tc>
          <w:tcPr>
            <w:tcW w:w="152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jc w:val="right"/>
              <w:ind w:right="5660"/>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Fair value (millions)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60" w:type="dxa"/>
            <w:vAlign w:val="bottom"/>
            <w:gridSpan w:val="2"/>
          </w:tcPr>
          <w:p>
            <w:pPr>
              <w:jc w:val="right"/>
              <w:ind w:right="5660"/>
              <w:spacing w:after="0"/>
              <w:rPr>
                <w:sz w:val="20"/>
                <w:szCs w:val="20"/>
                <w:color w:val="auto"/>
              </w:rPr>
            </w:pPr>
            <w:r>
              <w:rPr>
                <w:rFonts w:ascii="Times New Roman" w:cs="Times New Roman" w:eastAsia="Times New Roman" w:hAnsi="Times New Roman"/>
                <w:sz w:val="18"/>
                <w:szCs w:val="18"/>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16"/>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2023</w:t>
            </w: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Revenue risk premium</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volatility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delay (days)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Fair value (millions)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r>
    </w:tbl>
    <w:p>
      <w:pPr>
        <w:spacing w:after="0" w:line="179"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During the nine months ended December 31, 2024, the Company issued 300,000 shares of common stock related to the achievement of specified revenue objectives at a fair value of $6.5 million. The Company recorded a loss of $3.4 million resulting from the increases in the fair value of the contingent consideration in the nine months ended December 31, 2024. The Company recorded losses of $0.9 million and $3.1 million resulting from the increases in the fair value of the contingent consideration in the three and nine months ended December 31, 2023,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Debt</w:t>
      </w:r>
    </w:p>
    <w:p>
      <w:pPr>
        <w:spacing w:after="0" w:line="229" w:lineRule="exact"/>
        <w:rPr>
          <w:sz w:val="20"/>
          <w:szCs w:val="20"/>
          <w:color w:val="auto"/>
        </w:rPr>
      </w:pPr>
    </w:p>
    <w:p>
      <w:pPr>
        <w:jc w:val="both"/>
        <w:ind w:firstLine="760"/>
        <w:spacing w:after="0" w:line="266" w:lineRule="auto"/>
        <w:rPr>
          <w:sz w:val="20"/>
          <w:szCs w:val="20"/>
          <w:color w:val="auto"/>
        </w:rPr>
      </w:pPr>
      <w:r>
        <w:rPr>
          <w:rFonts w:ascii="Times New Roman" w:cs="Times New Roman" w:eastAsia="Times New Roman" w:hAnsi="Times New Roman"/>
          <w:sz w:val="18"/>
          <w:szCs w:val="18"/>
          <w:color w:val="auto"/>
        </w:rPr>
        <w:t>As part of the acquisition of Neeltran, the Company identified four equipment financing agreements that Neeltran had entered into prior to the acquisition of Neeltran on May 6, 2021. The Company did not have a current debt balance as of December 31, 2024 and had a balance of less than $0.1 million as of March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 fixed minimum rental payments and the payment of real estate taxes and insurance. Many of these real estate leases have one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condensed consolidated balance sheet.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 right-of-use asset related to the finance lease is fully amortized, and is included in the property and equipment, net on the Company's condensed consolidated balance sheet.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(1) accreted to reflect interest using the incremental borrowing rate if the rate implicit in the lease is not readily determinable, and (2) reduced to reflect lease payments made during the period. Amortization expense for finance lease right-of-use assets and interest accretion on finance lease liabilities are recorded to depreciation expense and interest expense, respectively in the Company's condensed consolidated statement of operations.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at December 31, 2024, and March 31, 2024 are as follows (in thousands):</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 Operating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right-of-use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 – ST Operating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 – LT Operating</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Weighted-average remaining lease term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20"/>
                <w:szCs w:val="20"/>
                <w:color w:val="auto"/>
              </w:rPr>
            </w:pPr>
          </w:p>
        </w:tc>
      </w:tr>
      <w:tr>
        <w:trPr>
          <w:trHeight w:val="425"/>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2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2,557</w:t>
            </w:r>
          </w:p>
        </w:tc>
      </w:tr>
      <w:tr>
        <w:trPr>
          <w:trHeight w:val="228"/>
        </w:trPr>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40" w:type="dxa"/>
            <w:vAlign w:val="bottom"/>
          </w:tcPr>
          <w:p>
            <w:pPr>
              <w:spacing w:after="0"/>
              <w:rPr>
                <w:sz w:val="19"/>
                <w:szCs w:val="19"/>
                <w:color w:val="auto"/>
              </w:rPr>
            </w:pPr>
          </w:p>
        </w:tc>
      </w:tr>
      <w:tr>
        <w:trPr>
          <w:trHeight w:val="395"/>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716</w:t>
            </w:r>
          </w:p>
        </w:tc>
      </w:tr>
      <w:tr>
        <w:trPr>
          <w:trHeight w:val="234"/>
        </w:trPr>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1,968</w:t>
            </w: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4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4"/>
        </w:trPr>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3.49</w:t>
            </w:r>
          </w:p>
        </w:tc>
      </w:tr>
      <w:tr>
        <w:trPr>
          <w:trHeight w:val="234"/>
        </w:trPr>
        <w:tc>
          <w:tcPr>
            <w:tcW w:w="14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-5023485</wp:posOffset>
            </wp:positionH>
            <wp:positionV relativeFrom="paragraph">
              <wp:posOffset>-1414145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-1130935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-856615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-573405</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-5023485</wp:posOffset>
            </wp:positionH>
            <wp:positionV relativeFrom="paragraph">
              <wp:posOffset>-273685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200" w:space="720"/>
            <w:col w:w="3320"/>
          </w:cols>
          <w:pgMar w:left="320" w:top="603" w:right="339" w:bottom="1440" w:gutter="0" w:footer="0" w:header="0"/>
          <w:type w:val="continuous"/>
        </w:sect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costs related to the Company's finance lease are not material. The costs related to the Company's operating leases for the three and nine months ended December 31, 2024 and 2023 are as follows (in thousands):</w:t>
      </w:r>
    </w:p>
    <w:p>
      <w:pPr>
        <w:sectPr>
          <w:pgSz w:w="11900" w:h="16838" w:orient="portrait"/>
          <w:cols w:equalWidth="0" w:num="1">
            <w:col w:w="11240"/>
          </w:cols>
          <w:pgMar w:left="320" w:top="6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 fixed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 variable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costs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 fixed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 variable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lease costs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246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r>
      <w:tr>
        <w:trPr>
          <w:trHeight w:val="40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r>
      <w:tr>
        <w:trPr>
          <w:trHeight w:val="209"/>
        </w:trPr>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0"/>
        </w:trPr>
        <w:tc>
          <w:tcPr>
            <w:tcW w:w="140" w:type="dxa"/>
            <w:vAlign w:val="bottom"/>
          </w:tcPr>
          <w:p>
            <w:pPr>
              <w:spacing w:after="0"/>
              <w:rPr>
                <w:sz w:val="24"/>
                <w:szCs w:val="24"/>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r>
      <w:tr>
        <w:trPr>
          <w:trHeight w:val="216"/>
        </w:trPr>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r>
      <w:tr>
        <w:trPr>
          <w:trHeight w:val="40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w:t>
            </w:r>
          </w:p>
        </w:tc>
      </w:tr>
      <w:tr>
        <w:trPr>
          <w:trHeight w:val="216"/>
        </w:trPr>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w:t>
            </w:r>
          </w:p>
        </w:tc>
      </w:tr>
      <w:tr>
        <w:trPr>
          <w:trHeight w:val="234"/>
        </w:trPr>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-2133600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-1859280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-1576705</wp:posOffset>
            </wp:positionV>
            <wp:extent cx="713232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-719455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-445135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-161925</wp:posOffset>
            </wp:positionV>
            <wp:extent cx="713232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603"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9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Company’s estimated minimum future lease obligations under the Company's leases are as follows (in thousands):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0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March 31,</w:t>
            </w: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1,005</w:t>
            </w: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1,317</w:t>
            </w: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1,497</w:t>
            </w:r>
          </w:p>
        </w:tc>
        <w:tc>
          <w:tcPr>
            <w:tcW w:w="80" w:type="dxa"/>
            <w:vAlign w:val="bottom"/>
            <w:shd w:val="clear" w:color="auto" w:fill="CCEEFF"/>
          </w:tcPr>
          <w:p>
            <w:pPr>
              <w:spacing w:after="0"/>
              <w:rPr>
                <w:sz w:val="18"/>
                <w:szCs w:val="18"/>
                <w:color w:val="auto"/>
              </w:rPr>
            </w:pPr>
          </w:p>
        </w:tc>
      </w:tr>
      <w:tr>
        <w:trPr>
          <w:trHeight w:val="209"/>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(1,805)</w:t>
            </w:r>
          </w:p>
        </w:tc>
      </w:tr>
      <w:tr>
        <w:trPr>
          <w:trHeight w:val="209"/>
        </w:trPr>
        <w:tc>
          <w:tcPr>
            <w:tcW w:w="9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legal and administrative proceedings and claims of various types.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condensed consolidated financial statements not misleading. If the loss is not probable or cannot be reasonably estimated, a liability is not recorded in its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had $3.5 million of restricted cash included in long-term assets and $1.3 million of restricted cash included in current assets. As of March 31, 2024, the Company had $1.3 million of restricted cash included in long term assets and $0.5 million of restricted cash included in current assets. These amounts included in restricted cash primarily represent deposits to secure letters of credit for various supply contracts and long-term projects or collateral deposits. These deposits are held in interest bearing accounts.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7" w:name="page28"/>
    <w:bookmarkEnd w:id="27"/>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Business Segments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reports its financial results in two reportable business segments: Grid and Wind. In accordance with ASC 280</w:t>
      </w:r>
      <w:r>
        <w:rPr>
          <w:rFonts w:ascii="Times New Roman" w:cs="Times New Roman" w:eastAsia="Times New Roman" w:hAnsi="Times New Roman"/>
          <w:sz w:val="18"/>
          <w:szCs w:val="18"/>
          <w:i w:val="1"/>
          <w:iCs w:val="1"/>
          <w:color w:val="auto"/>
        </w:rPr>
        <w:t>, Segment Reporting</w:t>
      </w:r>
      <w:r>
        <w:rPr>
          <w:rFonts w:ascii="Times New Roman" w:cs="Times New Roman" w:eastAsia="Times New Roman" w:hAnsi="Times New Roman"/>
          <w:sz w:val="18"/>
          <w:szCs w:val="18"/>
          <w:color w:val="auto"/>
        </w:rPr>
        <w:t>, the Company aggregates five operating segments into the Grid reporting business segment for financial reporting purposes due to their similar operating and financial characteristics. The Company's operating segments reflect the way in which internally-reported financial information is used to make decisions and allocate resources.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 the Company’s power grid offerings, the Grid business segment enables electric utilities, industrial facilities, and renewable energy project developers to connect, transmit and distribute smarter, cleaner and better power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 the Company’s wind power offerings, the Wind business segment enables manufacturers to field highly competitive wind turbines through its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megawatts ("MWs") and higher. The Company provides a broad range of power electronics and software-based control systems that are highly integrated and designed for optimized performance, efficiency, and grid compatibility.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The operating results for the two business segments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Grid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131,578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87,854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156,163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103,611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Grid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(2,866)</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(9,141)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income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income (loss).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Unallocated corporate expenses consisted of net losses resulting from activity relating to both the NEPSI earnout and the Megatran make whole payment which resulted in $6.7 million in increases in the fair value of contingent consideration in the nine months ended December 31, 2024. Unallocated corporate expenses consisted of a loss on contingent consideration of $0.9 million and $3.1 million in the three and nine months ended December 31, 2023, respectively. Additionally, unallocated corporate expenses consisted of stock-based compensation expense of $2.9 million and $4.9 million in the three and nine months ended December 31, 2024, respectively, and $1.1 million and $3.6 million in the three and nine months ended December 31, 2023,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assets for the two business segments as of December 31, 2024 and March 31, 2024,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Grid</w:t>
            </w:r>
          </w:p>
        </w:tc>
        <w:tc>
          <w:tcPr>
            <w:tcW w:w="4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212,583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125,878</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14,733</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assets</w:t>
            </w:r>
          </w:p>
        </w:tc>
        <w:tc>
          <w:tcPr>
            <w:tcW w:w="4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310,278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232,771</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4660" w:type="dxa"/>
            <w:vAlign w:val="bottom"/>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6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20. Recent Accounting Pronouncements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ASU 2023-07 improve the disclosures about a public entity’s reportable segments and address requests from investors for additional, more detailed information about a reportable segment’s expenses. Following the release of ASU 2023-07 in November 2023, the effective date will be annual reporting periods beginning after December 15, 2023. As of December 31, 2024, the Company is evaluating the impact on its condensed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will be annual reporting periods beginning after December 15, 2024. As of December 31, 2024, the Company is evaluating the impact on its condensed consolidated financial statements.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Amendments to Remove References to the Concepts Statements</w:t>
      </w:r>
      <w:r>
        <w:rPr>
          <w:rFonts w:ascii="Times New Roman" w:cs="Times New Roman" w:eastAsia="Times New Roman" w:hAnsi="Times New Roman"/>
          <w:sz w:val="18"/>
          <w:szCs w:val="18"/>
          <w:color w:val="auto"/>
        </w:rPr>
        <w:t>. The amendments in ASU 2024-02 contain amendments to the Codification that remove references to various FASB Concepts Statements. Following the release of ASU 2024-02 in March 2024, the effective date will be annual reporting periods beginning after December 15, 2024. As of December 31, 2024, the Company is evaluating the impact on its condensed consolidated financial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The amendments in ASU 2024-03 address investor requests for more disclosure of disaggregated financial reporting information about expenses presented in the income statement. Following the release of ASU 2024-03 in November 2024, the effective date will be annual reporting periods beginning after December 15, 2026. As of December 31, 2024, the Company is evaluating the impact on its condensed consolidated financial statements.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performed an evaluation of subsequent events through the time of filing this Quarterly Report on Form 10-Q with the SEC and has determined that there are no such events to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prospective results of operations or financial position, the benefits from our acquisition of Megatran Industries, Inc. ("Megatran") together with its wholly-owned subsidiaries and affiliates , changes in macroeconomic and market conditions, anticipated payment of ERC's (as defined herein),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Our technology and products could infringe intellectual property rights of others, which may require costly litigation and, if we are not successful, could cause us to pay substantial damages and disrupt our business; Changes in exchange rates could adversely affect our results of operations; We may be required to issue performance bonds or provide letters of credit, which restricts our ability to access any cash used as collateral for the bonds or letters of credit;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Changes in U.S. government defense spending could negatively impact our financial position, results of operations, liquidity and overall business; Pandemics, epidemics or other public health crises may adversely impact our business, financial condition and results of operations; We rely upon third-party suppliers for the components and subassemblies of many of our Grid and Wind products, making us vulnerable to supply shortages and price fluctuations, which could harm our business; Uncertainty surrounding our prospects and financial condition may have an adverse effect on our customer and supplier relationship; Our success is dependent upon attracting and retaining qualified personnel and our inability to do so could significantly damage our business and prospects; A significant portion of our Wind business segment revenues are derived from a single customer. If this customer’s business is negatively affected, it could adversely impact our business; Our success in addressing the wind energy market is dependent on the manufacturers that license our designs; Our business and operations would be adversely impacted in the event of a failure or security breach of our or any critical third parties' information technology infrastructure and networks; We may acquire additional complementary businesses or technologies, which may require us to incur substantial costs for which we may never realize the anticipated benefits; Failure to comply with evolving data privacy and data protection laws and regulations or to otherwise protect personal data, may adversely impact our business and financial results;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or third parties on whom we depend may be adversely affected by natural disasters, including events resulting from climate change, and our business continuity and disaster recovery plans may not adequately protect us or our value chain from such events; Adverse changes in domestic and global economic conditions could adversely affect our operating results; Our international operations are subject to risks that we do not face in the United States, which could have an adverse effect on our operating results; Our products face competition, which could limit our ability to acquire or retain customers;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Our success depends upon the commercial adoption of the REG system, which is currently limited, and a widespread commercial market for our products may not develop; Industry consolidation could result in more powerful competitors and fewer customers; Increasing focus and scrutiny on environmental sustainability and social initiatives could increase our costs, and inaction could harm our reputation and adversely impact our financial results; Growth of the wind energy market depends largely on the availability and size of government subsidies, economic incentives and legislative programs designed to support the growth of wind energy: Lower prices for other energy sources may reduce the demand for wind energy development, which could have a material adverse effect on our ability to grow our Wind business; We may be unable to adequately prevent disclosure of trade secrets and other proprietary information; Our patents may not provide meaningful or long-term protection for our technology, which could result in us losing some or all of our market position; There are a number of technological challenges that must be successfully addressed before our superconductor products can gain widespread commercial acceptance, and our inability to address such technological challenges could adversely affect our ability to acquire customers for our products; Third parties have or may acquire patents that cover the materials, processes and technologies we use or may use in the future to manufacture our Amperium products, and our success depends on our ability to license such patents or other proprietary rights; Our common stock has experienced, and may continue to experience, market price and volume fluctuations, which may prevent our stockholders from selling our common stock at a profit and could lead to costly litigation against us that could divert our management’s attention; Unfavorable results of legal proceedings could have a material adverse effect on our business, operating results and financial condition; and the other important factors discussed under the caption "Risk Factors" in Part 1. Item 1A of our Form 10-K for the fiscal year ended March 31, 2024,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5" w:gutter="0" w:footer="0" w:header="0"/>
        </w:sectPr>
      </w:pPr>
    </w:p>
    <w:bookmarkStart w:id="31" w:name="page32"/>
    <w:bookmarkEnd w:id="3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American Superconductor®, Amperium®, AMSC®, D-VAR®, PowerModule™, D-VAR VVO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PQ-IVR®, SeaTitan®, Gridtec™ Solutions, Windtec™ Solutions, Smarter, Cleaner...Better Energy™, orchestrate the rhythm and harmony of power on the grid™, actiVAR®, armorVAR™, NEPSI™ and Neeltran™ and SafetyLOCK™ are trademarks or registered trademarks of American Superconductor Corporation or our subsidiaries. We reserve all of our rights with respect to our trademarks or registered trademarks regardless of whether they are so designated in this Quarterly Report on Form 10-Q by an</w:t>
      </w:r>
    </w:p>
    <w:p>
      <w:pPr>
        <w:spacing w:after="0" w:line="1" w:lineRule="exact"/>
        <w:rPr>
          <w:sz w:val="20"/>
          <w:szCs w:val="20"/>
          <w:color w:val="auto"/>
        </w:rPr>
      </w:pPr>
    </w:p>
    <w:p>
      <w:pPr>
        <w:ind w:right="20" w:firstLine="8"/>
        <w:spacing w:after="0" w:line="260" w:lineRule="auto"/>
        <w:tabs>
          <w:tab w:leader="none" w:pos="1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 symbol. All other brand names, product names, trademarks or service marks appearing in this Quarterly Report on Form 10-Q are the property of their respective 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leading system provider of megawatt-scale power resiliency solutions that orchestrate the rhythm and harmony of power on the grid™, and protect and expand the capability of our Navy's fleet. Our solutions enhance the performance of the power grid, protect our Navy’s fleet, and lower the cost of wind power.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needs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robust intellectual property portfolio consisting of patents and patent applications worldwide and rights through exclusive and non-exclusive licenses.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our business under two market-facing business segments: Grid and Wind. We believe this market-centric structure enables us to more effectively anticipate and meet the needs of power generation project developers, the Navy's ship protection systems, electric utilities and wind turbine manufacturers.</w:t>
      </w:r>
    </w:p>
    <w:p>
      <w:pPr>
        <w:spacing w:after="0" w:line="174" w:lineRule="exact"/>
        <w:rPr>
          <w:sz w:val="20"/>
          <w:szCs w:val="20"/>
          <w:color w:val="auto"/>
        </w:rPr>
      </w:pPr>
    </w:p>
    <w:p>
      <w:pPr>
        <w:jc w:val="both"/>
        <w:ind w:left="800" w:hanging="239"/>
        <w:spacing w:after="0" w:line="257" w:lineRule="auto"/>
        <w:tabs>
          <w:tab w:leader="none" w:pos="8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Grid. </w:t>
      </w:r>
      <w:r>
        <w:rPr>
          <w:rFonts w:ascii="Times New Roman" w:cs="Times New Roman" w:eastAsia="Times New Roman" w:hAnsi="Times New Roman"/>
          <w:sz w:val="18"/>
          <w:szCs w:val="18"/>
          <w:color w:val="auto"/>
        </w:rPr>
        <w:t>Through our Gridtec™ Solutions, our Grid business segment enables electric utilities, industrial facilities, and renewable energy project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249" w:lineRule="exact"/>
        <w:rPr>
          <w:rFonts w:ascii="Times New Roman" w:cs="Times New Roman" w:eastAsia="Times New Roman" w:hAnsi="Times New Roman"/>
          <w:sz w:val="18"/>
          <w:szCs w:val="18"/>
          <w:color w:val="auto"/>
        </w:rPr>
      </w:pPr>
    </w:p>
    <w:p>
      <w:pPr>
        <w:jc w:val="both"/>
        <w:ind w:left="800" w:hanging="252"/>
        <w:spacing w:after="0" w:line="258"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Wind. </w:t>
      </w:r>
      <w:r>
        <w:rPr>
          <w:rFonts w:ascii="Times New Roman" w:cs="Times New Roman" w:eastAsia="Times New Roman" w:hAnsi="Times New Roman"/>
          <w:sz w:val="18"/>
          <w:szCs w:val="18"/>
          <w:color w:val="auto"/>
        </w:rPr>
        <w:t>Through our Windtec™ Solutions, our Wind business segment enables manufacturers to field wind turbines with exceptional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output, reliability and affordability. We supply advanced power electronics and control systems, license our highly engineered wind turbine designs, and provide extensive customer support services to wind turbine manufacturers. Our design portfolio includes a broad range of drivetrains and power ratings of 2 megawatts ("MWs") and higher. We provide a broad range of power electronics and software-based control systems that are highly integrated and designed for optimized performance, efficiency, and grid compatibility.</w:t>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fiscal year begins on April 1 and ends on March 31. When we refer to a particular fiscal year, we are referring to the fiscal year that began on April 1 of that same year. For example, fiscal 2024 refers to the fiscal year that began on April 1, 2024. Other fiscal years follow similarly.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2" w:name="page33"/>
    <w:bookmarkEnd w:id="3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macroeconomic conditions arising from various reasons, such as the ongoing wars between Russia and Ukraine and Israel and Hamas, labor force availability, sourcing, material delays and global supply chain disruptions, could have a material adverse effect on our business, financial condition and results of operations.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2023, we completed the process of determining and verifying our eligibility and amount of payroll tax credits known as the Employee Retention Credit (“ERC”) under the CARES Act which Congress enacted as part of the Taxpayer Certainty and Disaster Tax Relief Act of 2020. This resulted in filing certain amended payroll tax forms for eligible quarters in 2020 and 2021, which, in the aggregate, totaled $3.3 million. We recognized a receivable in prepaid expenses and other current assets and a benefit to cost of revenues and operating expenses in the quarter ended March 31, 2023. In the year ended March 31, 2024, we received $3.0 million in payments for the initial claims that were processed. The remaining balance is expected to be received during fiscal 2025.</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 2024, we completed an offering of 6,210,000 shares of our common stock at a public offering price of $11.25 per share under our then-existing Registration Statement on Form S-3. We received net proceeds of approximately $65.2 million after deducting underwriting discounts and commissions and offering expenses. See Note 1, “Nature of the Business and Operations and Liquidity,” for further information about this offering.</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1, 2024, we entered into a Stock Purchase Agreement (the “Stock Purchase Agreement”) with the selling stockholders named therein. Pursuant to the terms of the Stock Purchase Agreement and concurrently with entering into such agreement, we acquired all of the issued and outstanding shares of Megatran, for aggregate consideration in an amount equal to $61.4 million, as may be adjusted pursuant to the Stock Purchase Agreement (the “Purchase Price”), including a cash payment after closing of $5.0 million, as adjusted pursuant to Sections 5.6(c), (d), and (f) of the Stock Purchase Agreement (the “Additional Cash Purchase Price”). At closing, we paid to Megatran's selling stockholders $25.0 million in cash on hand, and 1,297,600 restricted shares of our common stock. On September 23, 2024, we paid the Additional Cash Purchase Price to the selling stockholders, which was calculated based on the agreed upon formula set forth in the Stock Purchase Agreement, in the amount of $8.3 million which includes the Additional Cash Purchase Price and the make whole payment. Megatran's wholly-owned subsidiary, NWL, Inc. ("NWL"), is a U.S.-based global provider of engineered power conversion solutions for demanding industrial and military applications. As a result of this transaction, Megatran became a wholly-owned subsidiary and is operated by our Grid business segment.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treat the equity investment in the condensed consolidated financial statements under the equity method. Equity method investments are equity securities in entities we do not control but over which we have the ability to exercise significant influence. These investments are accounted for under the equity method of accounting in accordance with ASC 323,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 Method and Joint Ventures</w:t>
      </w:r>
      <w:r>
        <w:rPr>
          <w:rFonts w:ascii="Times New Roman" w:cs="Times New Roman" w:eastAsia="Times New Roman" w:hAnsi="Times New Roman"/>
          <w:sz w:val="18"/>
          <w:szCs w:val="18"/>
          <w:color w:val="auto"/>
        </w:rPr>
        <w:t>. Equity method investments are measured at cost minus impairment, if any, plus or minus the Company’s share of an investee’s income or loss, less distributions received. Other than those noted here, there were no significant changes in the critical accounting policies that were disclosed in our Annual Report on Form 10-K for the fiscal year ended March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December 31, 2024, compared to the three and nine months ended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revenues increased 56% to $61.4 million for the three months ended December 31, 2024 and total revenues increased 51% to $156.2 million for the nine months ended December 31, 2024, compared to $39.4 million and $103.6 million for the three and nine months ended December 31, 2023, respectively. Our revenues are summarized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Grid</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52,306</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131,578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87,854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15,757</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39,353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156,163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103,611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Grid business segment accounted for 85% and 84% of total revenues for the three and nine months ended December 31, 2024, respectively, compared to 85% for each of the three and nine months ended December 31, 2023. Our Grid business segment revenues increased 56% to $52.3 million in the three months ended December 31, 2024, from $33.6 million in the three months ended December 31, 2023. Our Grid business segment revenues increased 50% to $131.6 million in the nine months ended December 31, 2024, from $87.9 million in the nine months ended December 31, 2023. The increase in the Grid business segment revenues in the three and nine months ended December 31, 2024, compared to the three and nine months ended December 31, 2023 was primarily driven by the acquisition of Megatran and increased shipments of new energy power systems than in the prior year periods.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501" w:gutter="0" w:footer="0" w:header="0"/>
        </w:sectPr>
      </w:pPr>
    </w:p>
    <w:bookmarkStart w:id="33" w:name="page34"/>
    <w:bookmarkEnd w:id="3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Wind business segment accounted for 15% and 16% of total revenues for the three and nine months ended December 31, 2024, respectively, compared to 15% for each of the three and nine months ended December 31, 2023. Revenues in the Wind business segment increased 58% and 56% to $9.1 million and $24.6 million in the three and nine months ended December 31, 2024, respectively, from $5.8 million and $15.8 million in the three and nine months ended December 31, 2023, respectively. The increase during the three and nine months ended December 31, 2024, compared to the three and nine months ended December 31, 2023, was driven by additional shipments of electrical control systems ("ECS") at increased prices.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Cost of revenues increased by 53% to $45.1 million for the three months ended December 31, 2024, compared to $29.4 million for the three months ended December 31, 2023. Cost of revenues increased by 42% to $112.0 million for the nine months ended December 31, 2024, compared to $78.8 million for the nine months ended December 31, 2023. Gross margin was 27% and 28% for the three and nine months ended December 31, 2024, respectively, compared to 25% and 24% for the three and nine months ended December 31, 2023, respectively. Cost of revenues includes total amortization expense of $0.3 million and $0.4 million in the three and nine months ended December 31, 2024, as a result of the Megatran acquired backlog intangible assets. In addition, a charge of $0.4 million and $0.7 million related to a fair value adjustment of approximately for the step-up basis assigned to acquired inventory to properly reflect the fair value in purchase accounting was charged to cost of revenues in the three and nine months ended December 31, 2024, when the inventory sold. The increase in gross margin in the three and nine months ended December 31, 2024 was due to higher revenues, a favorable product mix and favorable impacts across the business due to pricing increases across our product lines.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("R&amp;D") expenses increased 36% and 39% in the three and nine months ended December 31, 2024, respectively, to $3.0 million and $7.9 million from $2.2 million and $5.7 million in the three and nine months ended December 31, 2023, respectively. The increase in the three and nine months ended December 31, 2024 was driven primarily by the addition of Megatran R&amp;D expenses, higher overall compensation expense and additional stock-based compensation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Selling, general and administrative ("SG&amp;A") expenses increased 48% and 31% in the three and nine months ended December 31, 2024, respectively, to $11.6 million and $31.0 million from $7.8 million and $23.6 million in the three and nine months ended December 31, 2023, respectively. The increase in SG&amp;A expense in the three months ended December 31, 2024 was driven primarily by the addition of Megatran SG&amp;A expenses, higher overall compensation expense and additional stock-based compensation expense. The increase in the nine months ended December 31, 2024 was due to the addition of Megatran SG&amp;A expenses, higher overall compensation expense, additional stock-based compensation expense, and higher acquisition costs.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acquisition related intangibles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recorded amortization expense related to our core technology and know-how, customer relationships, and other intangible assets of $0.4 million and $1.3 million in the three and nine months ended December 31, 2024, respectively, and $0.5 million and $1.6 million in the three and nine months ended December 31, 2023, respectively. The decrease in amortization expense is a result of using the economic consumption method as the basis to amortize the acquired customer relationship intangible assets from Northeast Power Systems, Inc. ("NEPSI") and Neeltran.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change in fair value of our contingent consideration for the earnout payment on the acquisition of NEPSI resulted in a loss of $3.4 million resulting from an increase in fair value in the nine months ended December 31, 2024. During the three months ended September 30, 2024, we issued 300,000 shares of common stock of the Company to the selling stockholders following certification of the achievement of specified earnout revenue objectives. We recorded the above noted changes, compared to losses of $0.9 million and $3.1 million in the three and nine months ended December 31, 2023, respectively. We also recorded a $3.3 million payment relating to the Megatran acquisition, as a payment to settle the remaining obligations after the acquisition. The value of this contingent consideration was de minimis at the Acquisition Date and the resulting change in fair value was recorded in September during the nine months ended December 31,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Our operating income (loss)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Unallocated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5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r>
      <w:tr>
        <w:trPr>
          <w:trHeight w:val="40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2,819</w:t>
            </w:r>
          </w:p>
        </w:tc>
        <w:tc>
          <w:tcPr>
            <w:tcW w:w="260" w:type="dxa"/>
            <w:vAlign w:val="bottom"/>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(2,383)</w:t>
            </w:r>
          </w:p>
        </w:tc>
      </w:tr>
      <w:tr>
        <w:trPr>
          <w:trHeight w:val="216"/>
        </w:trPr>
        <w:tc>
          <w:tcPr>
            <w:tcW w:w="240" w:type="dxa"/>
            <w:vAlign w:val="bottom"/>
          </w:tcPr>
          <w:p>
            <w:pPr>
              <w:spacing w:after="0"/>
              <w:rPr>
                <w:sz w:val="18"/>
                <w:szCs w:val="18"/>
                <w:color w:val="auto"/>
              </w:rPr>
            </w:pPr>
          </w:p>
        </w:tc>
        <w:tc>
          <w:tcPr>
            <w:tcW w:w="8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8"/>
              </w:rPr>
              <w:t>1,362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2,877</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240" w:type="dxa"/>
            <w:vAlign w:val="bottom"/>
          </w:tcPr>
          <w:p>
            <w:pPr>
              <w:spacing w:after="0"/>
              <w:rPr>
                <w:sz w:val="20"/>
                <w:szCs w:val="20"/>
                <w:color w:val="auto"/>
              </w:rPr>
            </w:pPr>
          </w:p>
        </w:tc>
        <w:tc>
          <w:tcPr>
            <w:tcW w:w="11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(2,866)</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(1,992)</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(11,621)</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(6,646)</w:t>
            </w:r>
          </w:p>
        </w:tc>
      </w:tr>
      <w:tr>
        <w:trPr>
          <w:trHeight w:val="210"/>
        </w:trPr>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color w:val="auto"/>
                <w:w w:val="98"/>
              </w:rPr>
              <w:t>1,315</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660" w:space="320"/>
            <w:col w:w="5260"/>
          </w:cols>
          <w:pgMar w:left="320" w:top="576" w:right="339" w:bottom="1440" w:gutter="0" w:footer="0" w:header="0"/>
        </w:sect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Grid business segment generated operating income of $2.8 million and $6.0 million in the three and nine months ended December 31, 2024, respectively, compared to operating income of $0.3 million and operating loss of $2.4 million in the three and nine months ended December 31, 2023, respectively. The increase in the Grid business segment operating income in the three and nine months ended December 31, 2024 was due to higher revenues and gross margins in part due to a favorable product mix.</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Wind business segment generated operating income of $1.4 million and $2.9 million in the three and nine months ended December 31, 2024, respectively, compared to operating income of $0.3 million and operating loss of $0.1 million in the three and nine months ended December 31, 2023, respectively. The improvement in the Wind business segment operating income in the three and nine months ended December 31, 2024 was due to higher revenues and gross margins from increased sales of ECS units.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Unallocated corporate expenses included net losses on contingent consideration of $6.7 million in the nine months ended December 31, 2024, and net losses on contingent consideration of $0.9 million and $3.1 million in the three and nine months ended December 31, 2023, respectively. Additionally, unallocated corporate expenses consisted of stock-based compensation expense of $2.9 million and $4.9 million in the three and nine months ended December 31, 2024, respectively, and $1.1 million and $3.6 million in the three and nine months ended December 31,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income, net, was $0.8 million and $2.9 million in the three and nine months ended December 31, 2024, respectively, compared to $0.2 million and $0.5 million in the three and nine months ended December 31, 2023, respectively. The increase in interest income, net, in the three and nine months ended December 31, 2024 was due to higher cash balances.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income, net, was $0.3 million and other expense, net was $0.2 million in the three and nine months ended December 31, 2024, respectively, compared to other expense, net of $0.3 million and $0.6 million in the three and nine months ended December 31, 2023, respectively. The decrease in other expense, net, during the three and nine months ended December 31, 2024, compared to the three and nine months ended December 31, 2023, was driven by the impacts of favorable fluctuations in foreign currencies and gain on earnings from NWL Pacific during the periods.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 benefit was $0.1 million and $4.9 million in the three and nine months ended December 31, 2024, respectively. Income tax expense was $0.1 million and $0.3 million in the three and nine months ended December 31, 2023, respectively. The net improvement to income tax benefit for the three and nine months ended December 31, 2024 was a result of the release of the valuation allowance due to the recording of the deferred tax liability from the acquisition of Megatran.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income was $2.5 million and $4.8 million in the three and nine months ended December 31, 2024, respectively, compared to net losses of $1.6 million and $9.5 million in the three and nine months ended December 31, 2023, respectively. The improvement in net income was driven primarily by increased revenues and gross margins as well as the release of a partial valuation allowance against the deferred tax liability recorded as a result of the Megatran acquisition.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 - Non-GAAP Net Income (Loss)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Quarterly Report on Form 10-Q, however, should be considered in addition to, and not as a substitute for or superior to the comparable measures prepared in accordance with GAAP.</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define non-GAAP net income (loss) as net income (loss) before stock-based compensation, acquisition costs, amortization of acquisition-related intangibles, change in fair value of contingent consideration, and other non-cash or unusual charges. We believe non-GAAP net income (loss) assists management and investors in comparing our performance across reporting periods on a consistent basis by excluding these non-cash charges and other items that we do not believe are indicative of our core operating performance. In addition, we use non-GAAP net income (loss) as a factor to evaluate the effectiveness of our business strategies. A reconciliation of GAAP to non-GAAP net income (loss) is set forth in the table below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December</w:t>
            </w:r>
          </w:p>
        </w:tc>
      </w:tr>
      <w:tr>
        <w:trPr>
          <w:trHeight w:val="238"/>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13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(9,532)</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2,861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3,608</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3,052</w:t>
            </w: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6,047</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19,265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 per share - basic</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line="216" w:lineRule="exact"/>
              <w:rPr>
                <w:sz w:val="20"/>
                <w:szCs w:val="20"/>
                <w:color w:val="auto"/>
              </w:rPr>
            </w:pPr>
            <w:r>
              <w:rPr>
                <w:rFonts w:ascii="Times New Roman" w:cs="Times New Roman" w:eastAsia="Times New Roman" w:hAnsi="Times New Roman"/>
                <w:sz w:val="14"/>
                <w:szCs w:val="14"/>
                <w:color w:val="auto"/>
              </w:rPr>
              <w:t>(0.04</w:t>
            </w:r>
            <w:r>
              <w:rPr>
                <w:rFonts w:ascii="Times New Roman" w:cs="Times New Roman" w:eastAsia="Times New Roman" w:hAnsi="Times New Roman"/>
                <w:sz w:val="25"/>
                <w:szCs w:val="25"/>
                <w:color w:val="auto"/>
                <w:vertAlign w:val="subscript"/>
              </w:rPr>
              <w:t>)</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Non-GAAP net income (loss) per share - diluted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line="197" w:lineRule="exact"/>
              <w:rPr>
                <w:sz w:val="20"/>
                <w:szCs w:val="20"/>
                <w:color w:val="auto"/>
              </w:rPr>
            </w:pPr>
            <w:r>
              <w:rPr>
                <w:rFonts w:ascii="Times New Roman" w:cs="Times New Roman" w:eastAsia="Times New Roman" w:hAnsi="Times New Roman"/>
                <w:sz w:val="13"/>
                <w:szCs w:val="13"/>
                <w:color w:val="auto"/>
              </w:rPr>
              <w:t>(0.04</w:t>
            </w:r>
            <w:r>
              <w:rPr>
                <w:rFonts w:ascii="Times New Roman" w:cs="Times New Roman" w:eastAsia="Times New Roman" w:hAnsi="Times New Roman"/>
                <w:sz w:val="22"/>
                <w:szCs w:val="22"/>
                <w:color w:val="auto"/>
                <w:vertAlign w:val="subscript"/>
              </w:rPr>
              <w:t>)</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60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37,661</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29,092</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36,766</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28,728</w:t>
            </w: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6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38,463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29,428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37,457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28,728</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incurred non-GAAP net income of $6.0 million and $19.3 million, or $0.16 and $0.52 per share, for the three and nine months ended December 31, 2024, respectively, compared to a non-GAAP net income of $0.9 million and a non-GAAP net loss of $1.3 million, or $0.03 and $(0.04) per share, for the three and nine months ended December 31, 2023, respectively. The improvement in the non-GAAP net income (loss) for the three and nine months ended December 31, 2024 was due to higher revenues and gross margins.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experienced recurring operating losses and, as of December 31, 2024, had an accumulated deficit of $1,061.8 million.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cash requirements depend on numerous factors, including the successful completion of our product development activities, our ability to commercialize our Resilient Electric Grid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2024, we filed a shelf registration statement on Form S-3 that will expire three years from the date on which it was declared effective, March 15, 2027 (the “First Form S-3”). The First Form S-3 allows us to offer and sell from time-to-time up to $250 million of common stock, debt securities, warrants or units comprised of any combination of these securities. The First Form S-3 is intended to provide us flexibility to conduct registered sales of our securities, subject to market conditions, in order to fund our future capital needs. The terms of any future offering under the First Form S-3 will be established at the time of such offering and will be described in a prospectus supplement filed with the SEC prior to the completion of any such offering.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14, 2024, we completed a public offering of 6,210,000 shares of our common stock at a price of $11.25 per share under our then-existing Registration Statement on Form S-3. We received net proceeds of approximately $65.2 million after deducting underwriting discounts and commissions and offering expenses.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described above, on August 1, 2024, we acquired all of the issued and outstanding shares of Megatran, for aggregate consideration in an amount equal to $61.4 million (the “Purchase Price”), which consideration amount was subject to various adjustments set forth in the Stock Purchase Agreement (including those described below) and consisted of: (a) (i) $25.0 million, minus (ii) the Indebtedness (as defined in the Stock Purchase Agreement) outstanding as of immediately prior to the closing, minus (iii) Company Expenses (as defined in the Stock Purchase Agreement) (collectively, the “Cash Purchase Price”); (b) a number of restricted shares (rounded up or down to the nearest whole share, as applicable) (the “Company Shares”) of our common stock equal to the quotient obtained by dividing (x) $31.4 million by (y) the closing price per share of Common Stock on the Nasdaq Global Select Market on the last trading day immediately preceding August 1, 2024; and (c) an additional cash payment equal to $5.0 million, as adjusted pursuant to Sections 5.6(c), (d), and (f) of the Stock Purchase Agreement. Megatran is now a wholly-owned subsidiary of the Company and, together with its wholly-owned subsidiaries and affiliates, is operated and reported as a component of its Grid business segment. On September 23, 2024, the Company paid the Additional Cash Purchase Price to the selling stockholders, which was calculated based on the agreed upon formula, in the amount of $8.3 million.</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2024, we filed an automatically-effective shelf registration statement on Form S-3 that will expire no later than August 12, 2027 (the “Second Form S-3”). The Second Form S-3 allows us to offer and sell from time-to-time common stock, debt securities, warrants or units comprised of any combination of these securities and allows certain selling stockholders to offer and sell from time-to-time common stock. The Second Form S-3 assisted the Megatran selling stockholders in the resale of their common stock and is intended to provide us flexibility to conduct registered sales of our securities, subject to market conditions, in order to fund our future capital needs. The terms of any future offering under the Second Form S-3 will be established at the time of such offering and will be described in a prospectus supplement filed with the SEC prior to the completion of any such offering.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cash, cash equivalents and restricted cash of $80.0 million, compared to $92.3 million as of March 31, 2024, a decrease of $12.3 million. As of December 31, 2024, we had $3.2 million in cash, cash equivalents, and restricted cash in foreign bank accounts. Our cash, cash equivalents, and restricted cash are summarized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90,522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December 31, 2024, net cash provided by operating activities was $22.0 million, compared to cash used in operations of $0.1 million for the nine months ended December 31, 2023. The increase in cash flows provided by operating activities in the nine months ended December 31, 2024 was due primarily to increased net income, decrease in cash spent on accounts payable and accrued expenses, and increased deferred revenue, offset by an increase in accounts receivable, and cash spent on inventory purchases, prepaid expenses, and operating leases.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December 31, 2024, net cash used in investing activities was $34.1 million, compared to $0.6 million for the nine months ended December 31, 2023. The increase in net cash used in investing activities was primarily due to cash paid for the acquisition of Megatran.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December 31, 2024, net cash used in financing activities was $0.1 million compared to net cash provided by financing activities of $0.1 million for the nine months ended December 31, 2023. The decrease was due to the repurchase of common stock in connection with employee tax obligations upon the vesting of stock awards, offset by proceeds related to our ESPP.</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we had $3.5 million of restricted cash included in long-term assets and $1.3 million of restricted cash included in current assets. At March 31, 2024, we had $1.3 million of restricted cash included in long-term assets and $0.5 million of restricted cash in current assets. These amounts included in restricted cash primarily represent collateral deposits to secure surety bonds and letters of credit for various customer contracts. These deposits are held in interest bearing accounts.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party to many contractual obligations involving commitments to make payments to third parties. These obligations impact our short-term and long-term liquidity and capital resource needs. Certain contractual obligations are reflected on the condensed consolidated balance sheet as of December 31, 2024, while others are considered future commitments. We have various contractual arrangements, under which we have committed to purchase certain minimum quantities of goods or services on an annual basis. For information regarding our other contractual obligations, refer to Note 15, "Contingent Consideration," Note 16, "Debt," Note 17, "Leases" and Note 18, "Commitments and Contingencies" to our condensed consolidated financial statements included elsewhere in this Quarterly Report on Form 10-Q.</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0" w:gutter="0" w:footer="0" w:header="0"/>
        </w:sectPr>
      </w:pPr>
    </w:p>
    <w:bookmarkStart w:id="37" w:name="page38"/>
    <w:bookmarkEnd w:id="3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we have sufficient available liquidity to fund our operations and capital expenditures for the next twelve months. We raised $65.2 million, net of offering expenses, through an equity raise in February 2024. In addition, we may seek to raise additional capital, which could be in the form of loans, convertible debt or equity, to fund our operating requirements and capital expenditures. Our liquidity is highly dependent on our ability to increase revenues, control our operating costs, and raise additional capital, if necessary. There can be no assurance that we will be able to raise additional capital on favorable terms or at all or execute on any other means of improving our liquidity as described above. Additionally, the impact of global sources of instability, including the ongoing wars between Russia and Ukraine and Israel and Hamas, instability of financial institutions and political instability in the United States, on the global financial markets may reduce our ability to raise additional capital, if necessary, which could negatively impact our liquidity. We also continue to closely monitor our expenses and, if required, we intend to reduce our operating and capital spending to enhance liquidity.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are involved in legal and administrative proceedings and claims of various types. We record a liability in our condensed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condensed consolidated financial statements not misleading. If the loss is not probable or cannot be reasonably estimated, a liability is not recorded in our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ASU 2023-07 improve the disclosures about a public entity’s reportable segments and address requests from investors for additional, more detailed information about a reportable segment’s expenses. Following the release of ASU 2023-07 in November 2023, the effective date will be annual reporting periods beginning after December 15, 2023. As of December 31, 2024, we are evaluating the impact on our condensed consolidated financial statements.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ASU 2023-09 address investor requests for more transparency about income tax information through improvements to income tax disclosures primarily related to the rate reconciliation and income taxes paid information. Following the release of ASU 2023-09 in December 2023, the effective date will be annual reporting periods beginning after December 15, 2024. As of December 31, 2024, we are evaluating the impact on our condensed consolidated financial statements.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Amendments to Remove References to the Concepts Statements</w:t>
      </w:r>
      <w:r>
        <w:rPr>
          <w:rFonts w:ascii="Times New Roman" w:cs="Times New Roman" w:eastAsia="Times New Roman" w:hAnsi="Times New Roman"/>
          <w:sz w:val="18"/>
          <w:szCs w:val="18"/>
          <w:color w:val="auto"/>
        </w:rPr>
        <w:t>. The amendments in ASU 2024-02 contain amendments to the Codification that remove references to various FASB Concepts Statements. Following the release of ASU 2024-02 in March 2024, the effective date will be annual reporting periods beginning after December 15, 2024. As of December 31, 2024, we are evaluating the impact on our condensed consolidated financial statements.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The amendments in ASU 2024-03 address investor requests for more disclosure of disaggregated financial reporting information about expenses presented in the income statement. Following the release of ASU 2024-03 in November 2024, the effective date will be annual reporting periods beginning after December 15, 2026. As of December 31, 2024, we are evaluating the impact on our condensed consolidated financial statements.</w:t>
      </w:r>
    </w:p>
    <w:p>
      <w:pPr>
        <w:spacing w:after="0" w:line="1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believe that, outside of those disclosed here, there are any other recently issued accounting pronouncements that will have a material impact on our condensed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(as defined in Rules 13a-15(f) and 15d-15(f) under the Exchange Act) during the quarter ended December 31, 2024 that have materially affected, or are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described in Part I, Item 1A of our Annual Report on Form 10-K for the fiscal year ended March 31, 2024, filed with the SEC on May 29, 2024.</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stock repurchase activity during the three months ended December 31, 2024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that May Yet Be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Part of</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Purchased under</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the</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Plans or</w:t>
            </w:r>
          </w:p>
        </w:tc>
      </w:tr>
      <w:tr>
        <w:trPr>
          <w:trHeight w:val="216"/>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2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38"/>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4"/>
                <w:szCs w:val="14"/>
                <w:b w:val="1"/>
                <w:bCs w:val="1"/>
                <w:color w:val="auto"/>
              </w:rPr>
              <w:t>(a)</w:t>
            </w:r>
          </w:p>
        </w:tc>
        <w:tc>
          <w:tcPr>
            <w:tcW w:w="2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22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1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2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20" w:type="dxa"/>
            <w:vAlign w:val="bottom"/>
          </w:tcPr>
          <w:p>
            <w:pPr>
              <w:spacing w:after="0"/>
              <w:rPr>
                <w:sz w:val="18"/>
                <w:szCs w:val="18"/>
                <w:color w:val="auto"/>
              </w:rPr>
            </w:pPr>
          </w:p>
        </w:tc>
        <w:tc>
          <w:tcPr>
            <w:tcW w:w="13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3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 During the three months ended December 31, 2024, we did not purchase shares in connection with our stock-based compensation plans.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720" w:hanging="244"/>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740" w:hanging="264"/>
        <w:spacing w:after="0"/>
        <w:tabs>
          <w:tab w:leader="none" w:pos="7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both"/>
        <w:ind w:left="160" w:firstLine="316"/>
        <w:spacing w:after="0" w:line="266" w:lineRule="auto"/>
        <w:tabs>
          <w:tab w:leader="none" w:pos="72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2024, Daniel P. McGahn, Chairman, President and Chief Executive Officer, adopted a Rule 10b5-1 trading arrangement that is intended to satisfy the affirmative defense of Rule 10b5-1(c) for the sale of up to 183,319 shares of the Company’s common stock until the earlier of (i) June 20, 2025, or (ii) the date in which all shares under the trading arrangement are sold.</w:t>
      </w:r>
    </w:p>
    <w:p>
      <w:pPr>
        <w:spacing w:after="0" w:line="176" w:lineRule="exact"/>
        <w:rPr>
          <w:sz w:val="20"/>
          <w:szCs w:val="20"/>
          <w:color w:val="auto"/>
        </w:rPr>
      </w:pPr>
    </w:p>
    <w:p>
      <w:pPr>
        <w:jc w:val="both"/>
        <w:ind w:left="160" w:firstLine="324"/>
        <w:spacing w:after="0" w:line="266" w:lineRule="auto"/>
        <w:rPr>
          <w:sz w:val="20"/>
          <w:szCs w:val="20"/>
          <w:color w:val="auto"/>
        </w:rPr>
      </w:pPr>
      <w:r>
        <w:rPr>
          <w:rFonts w:ascii="Times New Roman" w:cs="Times New Roman" w:eastAsia="Times New Roman" w:hAnsi="Times New Roman"/>
          <w:sz w:val="18"/>
          <w:szCs w:val="18"/>
          <w:color w:val="auto"/>
        </w:rPr>
        <w:t>On December 11, 2024, John W. Kosiba, Jr., Senior Vice President, Chief Financial Officer and Treasurer, adopted a Rule 10b5-1 trading arrangement that is intended to satisfy the affirmative defense of Rule 10b5-1(c) for the sale of up to 73,248 shares of the Company’s common stock until the earlier of (i) June 30, 2025, or (ii) the date in which all shares under the trading arrangement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6.</w:t>
            </w:r>
          </w:p>
        </w:tc>
        <w:tc>
          <w:tcPr>
            <w:tcW w:w="6240" w:type="dxa"/>
            <w:vAlign w:val="bottom"/>
            <w:gridSpan w:val="14"/>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20" w:type="dxa"/>
            <w:vAlign w:val="bottom"/>
            <w:gridSpan w:val="10"/>
          </w:tcPr>
          <w:p>
            <w:pPr>
              <w:ind w:left="10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87"/>
        </w:trPr>
        <w:tc>
          <w:tcPr>
            <w:tcW w:w="1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12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Filed/Furnished</w:t>
            </w:r>
          </w:p>
        </w:tc>
        <w:tc>
          <w:tcPr>
            <w:tcW w:w="0" w:type="dxa"/>
            <w:vAlign w:val="bottom"/>
          </w:tcPr>
          <w:p>
            <w:pPr>
              <w:spacing w:after="0"/>
              <w:rPr>
                <w:sz w:val="1"/>
                <w:szCs w:val="1"/>
                <w:color w:val="auto"/>
              </w:rPr>
            </w:pPr>
          </w:p>
        </w:tc>
      </w:tr>
      <w:tr>
        <w:trPr>
          <w:trHeight w:val="238"/>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00" w:type="dxa"/>
            <w:vAlign w:val="bottom"/>
            <w:gridSpan w:val="11"/>
          </w:tcPr>
          <w:p>
            <w:pPr>
              <w:ind w:left="17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Form   File No.  Exhibit</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980" w:type="dxa"/>
            <w:vAlign w:val="bottom"/>
            <w:tcBorders>
              <w:top w:val="single" w:sz="8" w:color="auto"/>
              <w:bottom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EE"/>
                <w:w w:val="99"/>
              </w:rPr>
              <w:t>Chief Executive Officer—Certification pursuant to Rule 13a-14(a) or</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Rule 15d-14(a) of the Securities Exchange Act of 1934, as adopted</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500" w:type="dxa"/>
            <w:vAlign w:val="bottom"/>
            <w:tcBorders>
              <w:top w:val="single" w:sz="8" w:color="0000EE"/>
            </w:tcBorders>
            <w:gridSpan w:val="3"/>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Chief Financial Officer—Certification pursuant to Rule 13a-14(a) or</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Rule 15d-14(a) of the Securities Exchange Act of 1934, as adopted</w:t>
            </w:r>
          </w:p>
        </w:tc>
        <w:tc>
          <w:tcPr>
            <w:tcW w:w="1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500" w:type="dxa"/>
            <w:vAlign w:val="bottom"/>
            <w:tcBorders>
              <w:top w:val="single" w:sz="8" w:color="0000EE"/>
            </w:tcBorders>
            <w:gridSpan w:val="3"/>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49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Chief Executive Officer—Certification pursuant to Rule13a-14(b) or</w:t>
            </w:r>
          </w:p>
        </w:tc>
        <w:tc>
          <w:tcPr>
            <w:tcW w:w="1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15d-14(b) of the Securities Exchange Act of 1934 and 18</w:t>
            </w:r>
          </w:p>
        </w:tc>
        <w:tc>
          <w:tcPr>
            <w:tcW w:w="6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5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49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 Rule 13a-14(b) or</w:t>
            </w:r>
          </w:p>
        </w:tc>
        <w:tc>
          <w:tcPr>
            <w:tcW w:w="1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15d-14(b) of the Securities Exchange Act of 1934 and 18</w:t>
            </w:r>
          </w:p>
        </w:tc>
        <w:tc>
          <w:tcPr>
            <w:tcW w:w="6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 as adopted pursuant to Section 906 of the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5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32"/>
        </w:trPr>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14"/>
        </w:trPr>
        <w:tc>
          <w:tcPr>
            <w:tcW w:w="6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7"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Attached as Exhibits 101 to this report are the following formatted in inline XBRL (Extensible Business Reporting Language): (i) Condensed Consolidated Balance Sheets as of December 31, 2024 and March 31, 2024 (ii) Statements of Operations for the three and nine months ended December 31, 2024 and 2023, (iii) Condensed Consolidated Statements of Comprehensive Loss for the three and nine months ended December 31, 2024 and 2023, (iv) Condensed Consolidated Statements of Cash Flows for the nine months ended December 31, 2024 and 2023, and (v) Notes to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AMERICAN SUPERCONDUCTOR CORPORATION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5740" w:type="dxa"/>
            <w:vAlign w:val="bottom"/>
          </w:tcPr>
          <w:p>
            <w:pPr>
              <w:ind w:left="5300"/>
              <w:spacing w:after="0"/>
              <w:rPr>
                <w:sz w:val="20"/>
                <w:szCs w:val="20"/>
                <w:color w:val="auto"/>
              </w:rPr>
            </w:pPr>
            <w:r>
              <w:rPr>
                <w:rFonts w:ascii="Times New Roman" w:cs="Times New Roman" w:eastAsia="Times New Roman" w:hAnsi="Times New Roman"/>
                <w:sz w:val="18"/>
                <w:szCs w:val="18"/>
                <w:b w:val="1"/>
                <w:bCs w:val="1"/>
                <w:color w:val="auto"/>
              </w:rPr>
              <w:t>By:</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 John W. Kosiba, Jr.</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574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February 5, 2025</w:t>
            </w:r>
          </w:p>
        </w:tc>
        <w:tc>
          <w:tcPr>
            <w:tcW w:w="49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John W. Kosiba, Jr.</w:t>
            </w:r>
          </w:p>
        </w:tc>
      </w:tr>
      <w:tr>
        <w:trPr>
          <w:trHeight w:val="216"/>
        </w:trPr>
        <w:tc>
          <w:tcPr>
            <w:tcW w:w="5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Chief Financial Officer and Treasurer</w:t>
            </w:r>
          </w:p>
        </w:tc>
      </w:tr>
      <w:tr>
        <w:trPr>
          <w:trHeight w:val="234"/>
        </w:trPr>
        <w:tc>
          <w:tcPr>
            <w:tcW w:w="5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57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P. McGahn, certify that:</w:t>
      </w:r>
    </w:p>
    <w:p>
      <w:pPr>
        <w:spacing w:after="0" w:line="207"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Superconductor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February 5, 2025</w:t>
            </w:r>
          </w:p>
        </w:tc>
        <w:tc>
          <w:tcPr>
            <w:tcW w:w="3360" w:type="dxa"/>
            <w:vAlign w:val="bottom"/>
            <w:tcBorders>
              <w:bottom w:val="single" w:sz="8" w:color="auto"/>
            </w:tcBorders>
          </w:tcPr>
          <w:p>
            <w:pPr>
              <w:ind w:left="2420"/>
              <w:spacing w:after="0"/>
              <w:rPr>
                <w:sz w:val="20"/>
                <w:szCs w:val="20"/>
                <w:color w:val="auto"/>
              </w:rPr>
            </w:pPr>
            <w:r>
              <w:rPr>
                <w:rFonts w:ascii="Times New Roman" w:cs="Times New Roman" w:eastAsia="Times New Roman" w:hAnsi="Times New Roman"/>
                <w:sz w:val="18"/>
                <w:szCs w:val="18"/>
                <w:b w:val="1"/>
                <w:bCs w:val="1"/>
                <w:color w:val="auto"/>
              </w:rPr>
              <w:t>By:</w:t>
            </w:r>
          </w:p>
        </w:tc>
        <w:tc>
          <w:tcPr>
            <w:tcW w:w="354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8"/>
              </w:rPr>
              <w:t xml:space="preserve">/s/ </w:t>
            </w:r>
            <w:r>
              <w:rPr>
                <w:rFonts w:ascii="Times New Roman" w:cs="Times New Roman" w:eastAsia="Times New Roman" w:hAnsi="Times New Roman"/>
                <w:sz w:val="18"/>
                <w:szCs w:val="18"/>
                <w:b w:val="1"/>
                <w:bCs w:val="1"/>
                <w:color w:val="auto"/>
                <w:w w:val="98"/>
              </w:rPr>
              <w:t>Daniel P. McGahn</w:t>
            </w:r>
          </w:p>
        </w:tc>
      </w:tr>
      <w:tr>
        <w:trPr>
          <w:trHeight w:val="191"/>
        </w:trPr>
        <w:tc>
          <w:tcPr>
            <w:tcW w:w="4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540" w:type="dxa"/>
            <w:vAlign w:val="bottom"/>
          </w:tcPr>
          <w:p>
            <w:pPr>
              <w:jc w:val="center"/>
              <w:ind w:right="410"/>
              <w:spacing w:after="0" w:line="191" w:lineRule="exact"/>
              <w:rPr>
                <w:sz w:val="20"/>
                <w:szCs w:val="20"/>
                <w:color w:val="auto"/>
              </w:rPr>
            </w:pPr>
            <w:r>
              <w:rPr>
                <w:rFonts w:ascii="Times New Roman" w:cs="Times New Roman" w:eastAsia="Times New Roman" w:hAnsi="Times New Roman"/>
                <w:sz w:val="18"/>
                <w:szCs w:val="18"/>
                <w:color w:val="auto"/>
                <w:w w:val="98"/>
              </w:rPr>
              <w:t>Daniel P. McGahn</w:t>
            </w:r>
          </w:p>
        </w:tc>
      </w:tr>
      <w:tr>
        <w:trPr>
          <w:trHeight w:val="234"/>
        </w:trPr>
        <w:tc>
          <w:tcPr>
            <w:tcW w:w="43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5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Kosiba, Jr., certify that:</w:t>
      </w:r>
    </w:p>
    <w:p>
      <w:pPr>
        <w:spacing w:after="0" w:line="225"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American Superconductor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4" w:lineRule="exact"/>
        <w:rPr>
          <w:sz w:val="20"/>
          <w:szCs w:val="20"/>
          <w:color w:val="auto"/>
        </w:rPr>
      </w:pPr>
    </w:p>
    <w:p>
      <w:pPr>
        <w:spacing w:after="0"/>
        <w:tabs>
          <w:tab w:leader="none" w:pos="700" w:val="left"/>
          <w:tab w:leader="none" w:pos="6720" w:val="left"/>
          <w:tab w:leader="none" w:pos="8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5,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American Superconductor Corporation (the “Company”) for the period ended December 31, 2024,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80" w:lineRule="exact"/>
        <w:rPr>
          <w:sz w:val="20"/>
          <w:szCs w:val="20"/>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6"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spacing w:after="0"/>
        <w:tabs>
          <w:tab w:leader="none" w:pos="900" w:val="left"/>
          <w:tab w:leader="none" w:pos="6740" w:val="left"/>
          <w:tab w:leader="none" w:pos="8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5,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American Superconductor Corporation (the “Company”) for the period ended December 31, 2024,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0" w:lineRule="exact"/>
        <w:rPr>
          <w:sz w:val="20"/>
          <w:szCs w:val="20"/>
          <w:color w:val="auto"/>
        </w:rPr>
      </w:pPr>
    </w:p>
    <w:p>
      <w:pPr>
        <w:ind w:left="820" w:hanging="326"/>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6"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p>
      <w:pPr>
        <w:spacing w:after="0"/>
        <w:tabs>
          <w:tab w:leader="none" w:pos="780" w:val="left"/>
          <w:tab w:leader="none" w:pos="6740" w:val="left"/>
          <w:tab w:leader="none" w:pos="83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5, 2025</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b w:val="1"/>
          <w:bCs w:val="1"/>
          <w:color w:val="auto"/>
        </w:rPr>
        <w:t>/s/ 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2025-02-05T15:21:24Z</dcterms:created>
  <dcterms:modified xsi:type="dcterms:W3CDTF">2025-02-05T15:21:24Z</dcterms:modified>
</cp:coreProperties>
</file>