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201295</wp:posOffset>
            </wp:positionV>
            <wp:extent cx="1285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186055</wp:posOffset>
            </wp:positionV>
            <wp:extent cx="1285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right"/>
        <w:ind w:left="3840" w:right="3800" w:hanging="3832"/>
        <w:spacing w:after="0" w:line="422" w:lineRule="auto"/>
        <w:tabs>
          <w:tab w:leader="none" w:pos="64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For the transition period from </w:t>
      </w:r>
      <w:r>
        <w:rPr>
          <w:rFonts w:ascii="Arial" w:cs="Arial" w:eastAsia="Arial" w:hAnsi="Arial"/>
          <w:sz w:val="16"/>
          <w:szCs w:val="16"/>
          <w:color w:val="auto"/>
        </w:rPr>
        <w:t>_____</w:t>
      </w:r>
      <w:r>
        <w:rPr>
          <w:rFonts w:ascii="Arial" w:cs="Arial" w:eastAsia="Arial" w:hAnsi="Arial"/>
          <w:sz w:val="16"/>
          <w:szCs w:val="16"/>
          <w:b w:val="1"/>
          <w:bCs w:val="1"/>
          <w:color w:val="auto"/>
        </w:rPr>
        <w:t xml:space="preserve"> to </w:t>
      </w:r>
      <w:r>
        <w:rPr>
          <w:rFonts w:ascii="Arial" w:cs="Arial" w:eastAsia="Arial" w:hAnsi="Arial"/>
          <w:sz w:val="16"/>
          <w:szCs w:val="16"/>
          <w:color w:val="auto"/>
        </w:rPr>
        <w:t>_____</w:t>
      </w:r>
      <w:r>
        <w:rPr>
          <w:rFonts w:ascii="Arial" w:cs="Arial" w:eastAsia="Arial" w:hAnsi="Arial"/>
          <w:sz w:val="16"/>
          <w:szCs w:val="16"/>
          <w:b w:val="1"/>
          <w:bCs w:val="1"/>
          <w:color w:val="auto"/>
        </w:rPr>
        <w:t>.</w:t>
      </w:r>
    </w:p>
    <w:p>
      <w:pPr>
        <w:ind w:left="42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231775</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American Superconductor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150495</wp:posOffset>
            </wp:positionV>
            <wp:extent cx="1285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340" w:type="dxa"/>
        <w:tblCellMar>
          <w:top w:w="0" w:type="dxa"/>
          <w:left w:w="0" w:type="dxa"/>
          <w:bottom w:w="0" w:type="dxa"/>
          <w:right w:w="0" w:type="dxa"/>
        </w:tblCellMar>
      </w:tblPr>
      <w:tr>
        <w:trPr>
          <w:trHeight w:val="212"/>
        </w:trPr>
        <w:tc>
          <w:tcPr>
            <w:tcW w:w="6220" w:type="dxa"/>
            <w:vAlign w:val="bottom"/>
          </w:tcPr>
          <w:p>
            <w:pPr>
              <w:jc w:val="center"/>
              <w:ind w:right="318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04-2959321</w:t>
            </w:r>
          </w:p>
        </w:tc>
      </w:tr>
      <w:tr>
        <w:trPr>
          <w:trHeight w:val="148"/>
        </w:trPr>
        <w:tc>
          <w:tcPr>
            <w:tcW w:w="6220" w:type="dxa"/>
            <w:vAlign w:val="bottom"/>
          </w:tcPr>
          <w:p>
            <w:pPr>
              <w:jc w:val="center"/>
              <w:ind w:right="31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6"/>
              </w:rPr>
              <w:t>Identification No.)</w:t>
            </w:r>
          </w:p>
        </w:tc>
      </w:tr>
      <w:tr>
        <w:trPr>
          <w:trHeight w:val="327"/>
        </w:trPr>
        <w:tc>
          <w:tcPr>
            <w:tcW w:w="6220" w:type="dxa"/>
            <w:vAlign w:val="bottom"/>
          </w:tcPr>
          <w:p>
            <w:pPr>
              <w:jc w:val="center"/>
              <w:ind w:right="3200"/>
              <w:spacing w:after="0"/>
              <w:rPr>
                <w:sz w:val="20"/>
                <w:szCs w:val="20"/>
                <w:color w:val="auto"/>
              </w:rPr>
            </w:pPr>
            <w:r>
              <w:rPr>
                <w:rFonts w:ascii="Arial" w:cs="Arial" w:eastAsia="Arial" w:hAnsi="Arial"/>
                <w:sz w:val="18"/>
                <w:szCs w:val="18"/>
                <w:b w:val="1"/>
                <w:bCs w:val="1"/>
                <w:color w:val="auto"/>
                <w:w w:val="88"/>
              </w:rPr>
              <w:t>114 East Main St. Ayer, Massachusetts</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01432</w:t>
            </w:r>
          </w:p>
        </w:tc>
      </w:tr>
      <w:tr>
        <w:trPr>
          <w:trHeight w:val="186"/>
        </w:trPr>
        <w:tc>
          <w:tcPr>
            <w:tcW w:w="6220" w:type="dxa"/>
            <w:vAlign w:val="bottom"/>
          </w:tcPr>
          <w:p>
            <w:pPr>
              <w:jc w:val="center"/>
              <w:ind w:right="32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220" w:type="dxa"/>
            <w:vAlign w:val="bottom"/>
          </w:tcPr>
          <w:p>
            <w:pPr>
              <w:jc w:val="right"/>
              <w:ind w:right="1300"/>
              <w:spacing w:after="0"/>
              <w:rPr>
                <w:sz w:val="20"/>
                <w:szCs w:val="20"/>
                <w:color w:val="auto"/>
              </w:rPr>
            </w:pPr>
            <w:r>
              <w:rPr>
                <w:rFonts w:ascii="Arial" w:cs="Arial" w:eastAsia="Arial" w:hAnsi="Arial"/>
                <w:sz w:val="18"/>
                <w:szCs w:val="18"/>
                <w:b w:val="1"/>
                <w:bCs w:val="1"/>
                <w:color w:val="auto"/>
              </w:rPr>
              <w:t>(978) 842-3000</w:t>
            </w:r>
          </w:p>
        </w:tc>
        <w:tc>
          <w:tcPr>
            <w:tcW w:w="1440" w:type="dxa"/>
            <w:vAlign w:val="bottom"/>
          </w:tcPr>
          <w:p>
            <w:pPr>
              <w:spacing w:after="0"/>
              <w:rPr>
                <w:sz w:val="24"/>
                <w:szCs w:val="24"/>
                <w:color w:val="auto"/>
              </w:rPr>
            </w:pPr>
          </w:p>
        </w:tc>
      </w:tr>
      <w:tr>
        <w:trPr>
          <w:trHeight w:val="186"/>
        </w:trPr>
        <w:tc>
          <w:tcPr>
            <w:tcW w:w="6220" w:type="dxa"/>
            <w:vAlign w:val="bottom"/>
          </w:tcPr>
          <w:p>
            <w:pPr>
              <w:jc w:val="center"/>
              <w:ind w:left="22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1120" w:type="dxa"/>
        <w:tblCellMar>
          <w:top w:w="0" w:type="dxa"/>
          <w:left w:w="0" w:type="dxa"/>
          <w:bottom w:w="0" w:type="dxa"/>
          <w:right w:w="0" w:type="dxa"/>
        </w:tblCellMar>
      </w:tblPr>
      <w:tr>
        <w:trPr>
          <w:trHeight w:val="230"/>
        </w:trPr>
        <w:tc>
          <w:tcPr>
            <w:tcW w:w="32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2"/>
              </w:rPr>
              <w:t>Trading Symbol(s)</w:t>
            </w:r>
          </w:p>
        </w:tc>
        <w:tc>
          <w:tcPr>
            <w:tcW w:w="35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195"/>
        </w:trPr>
        <w:tc>
          <w:tcPr>
            <w:tcW w:w="320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0"/>
              </w:rPr>
              <w:t>Common Stock,</w:t>
            </w:r>
          </w:p>
        </w:tc>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30"/>
        </w:trPr>
        <w:tc>
          <w:tcPr>
            <w:tcW w:w="3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7"/>
              </w:rPr>
              <w:t>$0.01 par value per share</w:t>
            </w:r>
          </w:p>
        </w:tc>
        <w:tc>
          <w:tcPr>
            <w:tcW w:w="22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6"/>
              </w:rPr>
              <w:t>AMSC</w:t>
            </w:r>
          </w:p>
        </w:tc>
        <w:tc>
          <w:tcPr>
            <w:tcW w:w="35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Nasdaq Global Select Market</w:t>
            </w:r>
          </w:p>
        </w:tc>
      </w:tr>
    </w:tbl>
    <w:p>
      <w:pPr>
        <w:spacing w:after="0" w:line="310"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90" w:right="339" w:bottom="55" w:gutter="0" w:footer="0" w:header="0"/>
        </w:sectPr>
      </w:pPr>
    </w:p>
    <w:p>
      <w:pPr>
        <w:spacing w:after="0" w:line="83"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890" w:right="339" w:bottom="55"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890" w:right="339" w:bottom="55" w:gutter="0" w:footer="0" w:header="0"/>
          <w:type w:val="continuous"/>
        </w:sectPr>
      </w:pPr>
    </w:p>
    <w:p>
      <w:pPr>
        <w:ind w:left="6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890" w:right="339" w:bottom="55" w:gutter="0" w:footer="0" w:header="0"/>
          <w:type w:val="continuous"/>
        </w:sectPr>
      </w:pPr>
    </w:p>
    <w:p>
      <w:pPr>
        <w:spacing w:after="0" w:line="21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Shares outstanding of the Registrant’s common stock:</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584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29,530,137</w:t>
            </w:r>
          </w:p>
        </w:tc>
      </w:tr>
      <w:tr>
        <w:trPr>
          <w:trHeight w:val="228"/>
        </w:trPr>
        <w:tc>
          <w:tcPr>
            <w:tcW w:w="5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440" w:type="dxa"/>
            <w:vAlign w:val="bottom"/>
          </w:tcPr>
          <w:p>
            <w:pPr>
              <w:spacing w:after="0"/>
              <w:rPr>
                <w:sz w:val="19"/>
                <w:szCs w:val="19"/>
                <w:color w:val="auto"/>
              </w:rPr>
            </w:pPr>
          </w:p>
        </w:tc>
        <w:tc>
          <w:tcPr>
            <w:tcW w:w="5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 as of January 30, 2023</w:t>
            </w:r>
          </w:p>
        </w:tc>
      </w:tr>
      <w:tr>
        <w:trPr>
          <w:trHeight w:val="252"/>
        </w:trPr>
        <w:tc>
          <w:tcPr>
            <w:tcW w:w="5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400" w:type="dxa"/>
            <w:vAlign w:val="bottom"/>
            <w:tcBorders>
              <w:bottom w:val="single" w:sz="8" w:color="auto"/>
            </w:tcBorders>
          </w:tcPr>
          <w:p>
            <w:pPr>
              <w:spacing w:after="0"/>
              <w:rPr>
                <w:sz w:val="21"/>
                <w:szCs w:val="21"/>
                <w:color w:val="auto"/>
              </w:rPr>
            </w:pPr>
          </w:p>
        </w:tc>
      </w:tr>
      <w:tr>
        <w:trPr>
          <w:trHeight w:val="68"/>
        </w:trPr>
        <w:tc>
          <w:tcPr>
            <w:tcW w:w="5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400" w:type="dxa"/>
            <w:vAlign w:val="bottom"/>
            <w:tcBorders>
              <w:bottom w:val="single" w:sz="8" w:color="auto"/>
            </w:tcBorders>
          </w:tcPr>
          <w:p>
            <w:pPr>
              <w:spacing w:after="0"/>
              <w:rPr>
                <w:sz w:val="5"/>
                <w:szCs w:val="5"/>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0" w:right="339" w:bottom="5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10"/>
            <w:vMerge w:val="restart"/>
          </w:tcPr>
          <w:p>
            <w:pPr>
              <w:spacing w:after="0"/>
              <w:rPr>
                <w:sz w:val="20"/>
                <w:szCs w:val="20"/>
                <w:color w:val="auto"/>
              </w:rPr>
            </w:pPr>
            <w:r>
              <w:rPr>
                <w:rFonts w:ascii="Arial" w:cs="Arial" w:eastAsia="Arial" w:hAnsi="Arial"/>
                <w:sz w:val="18"/>
                <w:szCs w:val="18"/>
                <w:color w:val="0000EE"/>
                <w:w w:val="98"/>
              </w:rPr>
              <w:t>PART I—FINANCIAL INFORMATION</w:t>
            </w:r>
          </w:p>
        </w:tc>
        <w:tc>
          <w:tcPr>
            <w:tcW w:w="7360" w:type="dxa"/>
            <w:vAlign w:val="bottom"/>
            <w:gridSpan w:val="5"/>
            <w:vMerge w:val="restart"/>
          </w:tcPr>
          <w:p>
            <w:pPr>
              <w:spacing w:after="0"/>
              <w:rPr>
                <w:sz w:val="20"/>
                <w:szCs w:val="20"/>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EE"/>
            </w:tcBorders>
            <w:gridSpan w:val="10"/>
            <w:vMerge w:val="continue"/>
          </w:tcPr>
          <w:p>
            <w:pPr>
              <w:spacing w:after="0"/>
              <w:rPr>
                <w:sz w:val="14"/>
                <w:szCs w:val="14"/>
                <w:color w:val="auto"/>
              </w:rPr>
            </w:pPr>
          </w:p>
        </w:tc>
        <w:tc>
          <w:tcPr>
            <w:tcW w:w="736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sz w:val="20"/>
                <w:szCs w:val="20"/>
                <w:color w:val="auto"/>
              </w:rPr>
            </w:pPr>
            <w:r>
              <w:rPr>
                <w:rFonts w:ascii="Arial" w:cs="Arial" w:eastAsia="Arial" w:hAnsi="Arial"/>
                <w:sz w:val="18"/>
                <w:szCs w:val="18"/>
                <w:color w:val="0000EE"/>
                <w:w w:val="88"/>
              </w:rPr>
              <w:t>Financial Statements</w:t>
            </w:r>
          </w:p>
        </w:tc>
        <w:tc>
          <w:tcPr>
            <w:tcW w:w="7920" w:type="dxa"/>
            <w:vAlign w:val="bottom"/>
            <w:gridSpan w:val="8"/>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EE"/>
              </w:rPr>
              <w:t>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3"/>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EE"/>
              </w:rPr>
              <w:t>23</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30</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3"/>
          </w:tcPr>
          <w:p>
            <w:pPr>
              <w:spacing w:after="0"/>
              <w:rPr>
                <w:sz w:val="20"/>
                <w:szCs w:val="20"/>
                <w:color w:val="auto"/>
              </w:rPr>
            </w:pPr>
            <w:r>
              <w:rPr>
                <w:rFonts w:ascii="Arial" w:cs="Arial" w:eastAsia="Arial" w:hAnsi="Arial"/>
                <w:sz w:val="18"/>
                <w:szCs w:val="18"/>
                <w:color w:val="0000EE"/>
              </w:rPr>
              <w:t>Controls and Procedures</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15"/>
          </w:tcPr>
          <w:p>
            <w:pPr>
              <w:spacing w:after="0"/>
              <w:rPr>
                <w:sz w:val="20"/>
                <w:szCs w:val="20"/>
                <w:color w:val="auto"/>
              </w:rPr>
            </w:pPr>
            <w:r>
              <w:rPr>
                <w:rFonts w:ascii="Arial" w:cs="Arial" w:eastAsia="Arial" w:hAnsi="Arial"/>
                <w:sz w:val="18"/>
                <w:szCs w:val="18"/>
                <w:color w:val="0000EE"/>
              </w:rPr>
              <w:t>PART II—OTHER INFORMATION</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7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Legal Proceedings</w:t>
            </w:r>
          </w:p>
        </w:tc>
        <w:tc>
          <w:tcPr>
            <w:tcW w:w="7660" w:type="dxa"/>
            <w:vAlign w:val="bottom"/>
            <w:gridSpan w:val="6"/>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EE"/>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7"/>
              </w:rPr>
              <w:t>Risk Factors</w:t>
            </w:r>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Unregistered Sales of Equity Securities and Use of Proceeds</w:t>
            </w:r>
          </w:p>
        </w:tc>
        <w:tc>
          <w:tcPr>
            <w:tcW w:w="508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Defaults Upon Senior Securities</w:t>
            </w:r>
          </w:p>
        </w:tc>
        <w:tc>
          <w:tcPr>
            <w:tcW w:w="710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Mine Safety Disclosure</w:t>
            </w:r>
          </w:p>
        </w:tc>
        <w:tc>
          <w:tcPr>
            <w:tcW w:w="772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3"/>
          </w:tcPr>
          <w:p>
            <w:pPr>
              <w:spacing w:after="0"/>
              <w:rPr>
                <w:sz w:val="20"/>
                <w:szCs w:val="20"/>
                <w:color w:val="auto"/>
              </w:rPr>
            </w:pPr>
            <w:r>
              <w:rPr>
                <w:rFonts w:ascii="Arial" w:cs="Arial" w:eastAsia="Arial" w:hAnsi="Arial"/>
                <w:sz w:val="18"/>
                <w:szCs w:val="18"/>
                <w:color w:val="0000EE"/>
              </w:rPr>
              <w:t>Other Information</w:t>
            </w:r>
          </w:p>
        </w:tc>
        <w:tc>
          <w:tcPr>
            <w:tcW w:w="900" w:type="dxa"/>
            <w:vAlign w:val="bottom"/>
            <w:gridSpan w:val="3"/>
          </w:tcPr>
          <w:p>
            <w:pPr>
              <w:jc w:val="right"/>
              <w:spacing w:after="0"/>
              <w:rPr>
                <w:sz w:val="20"/>
                <w:szCs w:val="20"/>
                <w:color w:val="auto"/>
              </w:rPr>
            </w:pPr>
            <w:r>
              <w:rPr>
                <w:rFonts w:ascii="Arial" w:cs="Arial" w:eastAsia="Arial" w:hAnsi="Arial"/>
                <w:sz w:val="18"/>
                <w:szCs w:val="18"/>
                <w:color w:val="0000EE"/>
              </w:rPr>
              <w:t>31</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2"/>
          </w:tcPr>
          <w:p>
            <w:pPr>
              <w:spacing w:after="0"/>
              <w:rPr>
                <w:sz w:val="24"/>
                <w:szCs w:val="24"/>
                <w:color w:val="auto"/>
              </w:rPr>
            </w:pPr>
          </w:p>
        </w:tc>
        <w:tc>
          <w:tcPr>
            <w:tcW w:w="812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32</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0000EE"/>
              </w:rPr>
              <w:t>Signature</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453"/>
        </w:trPr>
        <w:tc>
          <w:tcPr>
            <w:tcW w:w="7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gridSpan w:val="12"/>
          </w:tcPr>
          <w:p>
            <w:pPr>
              <w:ind w:left="4660"/>
              <w:spacing w:after="0"/>
              <w:rPr>
                <w:sz w:val="20"/>
                <w:szCs w:val="20"/>
                <w:color w:val="auto"/>
              </w:rPr>
            </w:pPr>
            <w:r>
              <w:rPr>
                <w:rFonts w:ascii="Arial" w:cs="Arial" w:eastAsia="Arial" w:hAnsi="Arial"/>
                <w:sz w:val="18"/>
                <w:szCs w:val="18"/>
                <w:color w:val="auto"/>
              </w:rPr>
              <w:t>2</w:t>
            </w: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gridSpan w:val="2"/>
          </w:tcPr>
          <w:p>
            <w:pPr>
              <w:ind w:left="2920"/>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8000" w:type="dxa"/>
            <w:vAlign w:val="bottom"/>
          </w:tcPr>
          <w:p>
            <w:pPr>
              <w:ind w:left="5060"/>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4"/>
        </w:trPr>
        <w:tc>
          <w:tcPr>
            <w:tcW w:w="800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March 31, 2022</w:t>
            </w:r>
          </w:p>
        </w:tc>
      </w:tr>
      <w:tr>
        <w:trPr>
          <w:trHeight w:val="216"/>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17,568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20,280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net</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7,052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w:t>
            </w: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94,336</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Property, plant and equipment, net</w:t>
            </w: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12,611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13,656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 net</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Right-of-use assets</w:t>
            </w: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3,502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6,148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r>
      <w:tr>
        <w:trPr>
          <w:trHeight w:val="237"/>
        </w:trPr>
        <w:tc>
          <w:tcPr>
            <w:tcW w:w="80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r>
      <w:tr>
        <w:trPr>
          <w:trHeight w:val="25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165,072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173,887</w:t>
            </w:r>
          </w:p>
        </w:tc>
      </w:tr>
      <w:tr>
        <w:trPr>
          <w:trHeight w:val="197"/>
        </w:trPr>
        <w:tc>
          <w:tcPr>
            <w:tcW w:w="800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32,060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29,140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current portion</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Debt, current portion</w:t>
            </w: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237"/>
        </w:trPr>
        <w:tc>
          <w:tcPr>
            <w:tcW w:w="8000" w:type="dxa"/>
            <w:vAlign w:val="bottom"/>
          </w:tcPr>
          <w:p>
            <w:pPr>
              <w:ind w:left="340"/>
              <w:spacing w:after="0"/>
              <w:rPr>
                <w:sz w:val="20"/>
                <w:szCs w:val="20"/>
                <w:color w:val="auto"/>
              </w:rPr>
            </w:pPr>
            <w:r>
              <w:rPr>
                <w:rFonts w:ascii="Arial" w:cs="Arial" w:eastAsia="Arial" w:hAnsi="Arial"/>
                <w:sz w:val="18"/>
                <w:szCs w:val="18"/>
                <w:color w:val="auto"/>
              </w:rPr>
              <w:t>Deferred revenue, current portion</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22,812</w:t>
            </w:r>
          </w:p>
        </w:tc>
        <w:tc>
          <w:tcPr>
            <w:tcW w:w="100" w:type="dxa"/>
            <w:vAlign w:val="bottom"/>
          </w:tcPr>
          <w:p>
            <w:pPr>
              <w:spacing w:after="0"/>
              <w:rPr>
                <w:sz w:val="20"/>
                <w:szCs w:val="20"/>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53,964</w:t>
            </w:r>
          </w:p>
        </w:tc>
      </w:tr>
      <w:tr>
        <w:trPr>
          <w:trHeight w:val="216"/>
        </w:trPr>
        <w:tc>
          <w:tcPr>
            <w:tcW w:w="8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long-term portion</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Lease liability, long-term portion</w:t>
            </w: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Debt, long-term portion</w:t>
            </w: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37"/>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77,865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64,498</w:t>
            </w:r>
          </w:p>
        </w:tc>
      </w:tr>
      <w:tr>
        <w:trPr>
          <w:trHeight w:val="216"/>
        </w:trPr>
        <w:tc>
          <w:tcPr>
            <w:tcW w:w="80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1,137,622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1,133,536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r>
      <w:tr>
        <w:trPr>
          <w:trHeight w:val="23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5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(1,048,678)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(1,020,506)</w:t>
            </w:r>
          </w:p>
        </w:tc>
      </w:tr>
      <w:tr>
        <w:trPr>
          <w:trHeight w:val="236"/>
        </w:trPr>
        <w:tc>
          <w:tcPr>
            <w:tcW w:w="800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Total stockholders' equity</w:t>
            </w:r>
          </w:p>
        </w:tc>
        <w:tc>
          <w:tcPr>
            <w:tcW w:w="5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87,207</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109,389</w:t>
            </w:r>
          </w:p>
        </w:tc>
        <w:tc>
          <w:tcPr>
            <w:tcW w:w="100" w:type="dxa"/>
            <w:vAlign w:val="bottom"/>
            <w:tcBorders>
              <w:top w:val="single" w:sz="8" w:color="CCEEFF"/>
            </w:tcBorders>
          </w:tcPr>
          <w:p>
            <w:pPr>
              <w:spacing w:after="0"/>
              <w:rPr>
                <w:sz w:val="20"/>
                <w:szCs w:val="20"/>
                <w:color w:val="auto"/>
              </w:rPr>
            </w:pPr>
          </w:p>
        </w:tc>
      </w:tr>
      <w:tr>
        <w:trPr>
          <w:trHeight w:val="25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165,072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55"/>
        </w:trPr>
        <w:tc>
          <w:tcPr>
            <w:tcW w:w="5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2"/>
                <w:szCs w:val="22"/>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80,126</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23,364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23,227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69,533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69,925</w:t>
            </w:r>
          </w:p>
        </w:tc>
      </w:tr>
      <w:tr>
        <w:trPr>
          <w:trHeight w:val="216"/>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10,201</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2,083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2,657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8,368</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20,615</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1,840</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9,726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30,878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26,383</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(9,209)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(4,380)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(26,170)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(16,182)</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China dissolution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41"/>
        </w:trPr>
        <w:tc>
          <w:tcPr>
            <w:tcW w:w="598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(9,454)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(16,107)</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(1,946)</w:t>
            </w:r>
          </w:p>
        </w:tc>
      </w:tr>
      <w:tr>
        <w:trPr>
          <w:trHeight w:val="216"/>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(14,161)</w:t>
            </w: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(0.34)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(0.52)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(0.34)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(0.52)</w:t>
            </w: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27,954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27,352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27,794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27,145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27,954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27,352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27,794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27,145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CONDENSED CONSOLIDATED STATEMENTS OF COMPREHENSIVE LOSS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 gain, net of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China dissolution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(loss) gain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Nine Months Ended</w:t>
            </w:r>
          </w:p>
        </w:tc>
      </w:tr>
      <w:tr>
        <w:trPr>
          <w:trHeight w:val="255"/>
        </w:trPr>
        <w:tc>
          <w:tcPr>
            <w:tcW w:w="240" w:type="dxa"/>
            <w:vAlign w:val="bottom"/>
          </w:tcPr>
          <w:p>
            <w:pPr>
              <w:spacing w:after="0"/>
              <w:rPr>
                <w:sz w:val="22"/>
                <w:szCs w:val="22"/>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2"/>
                <w:szCs w:val="22"/>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230"/>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(9,581)</w:t>
            </w:r>
          </w:p>
        </w:tc>
        <w:tc>
          <w:tcPr>
            <w:tcW w:w="26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(4,324)</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(28,171)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(14,161)</w:t>
            </w:r>
          </w:p>
        </w:tc>
        <w:tc>
          <w:tcPr>
            <w:tcW w:w="60" w:type="dxa"/>
            <w:vAlign w:val="bottom"/>
          </w:tcPr>
          <w:p>
            <w:pPr>
              <w:spacing w:after="0"/>
              <w:rPr>
                <w:sz w:val="20"/>
                <w:szCs w:val="20"/>
                <w:color w:val="auto"/>
              </w:rPr>
            </w:pPr>
          </w:p>
        </w:tc>
      </w:tr>
      <w:tr>
        <w:trPr>
          <w:trHeight w:val="403"/>
        </w:trPr>
        <w:tc>
          <w:tcPr>
            <w:tcW w:w="24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1,921</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-548005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-273685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60" w:space="720"/>
            <w:col w:w="5260"/>
          </w:cols>
          <w:pgMar w:left="320" w:top="82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 gain, net of tax</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41"/>
        </w:trPr>
        <w:tc>
          <w:tcPr>
            <w:tcW w:w="5980" w:type="dxa"/>
            <w:vAlign w:val="bottom"/>
            <w:shd w:val="clear" w:color="auto" w:fill="CCEEFF"/>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Comprehensive loss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(9,776)</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(4,304)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(26,277)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(14,180)</w:t>
            </w:r>
          </w:p>
        </w:tc>
      </w:tr>
      <w:tr>
        <w:trPr>
          <w:trHeight w:val="20"/>
        </w:trPr>
        <w:tc>
          <w:tcPr>
            <w:tcW w:w="5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AMERICAN SUPERCONDUCTOR CORPORATION UNAUDITED CONSOLIDATED STATEMENTS OF STOCKHOLDERS’ EQUITY FOR THE THREE AND NINE MONTHS ENDED DECEMBER 31, 2022 AND 2021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040" w:type="dxa"/>
            <w:vAlign w:val="bottom"/>
            <w:tcBorders>
              <w:top w:val="single" w:sz="8" w:color="auto"/>
            </w:tcBorders>
            <w:gridSpan w:val="2"/>
          </w:tcPr>
          <w:p>
            <w:pPr>
              <w:jc w:val="right"/>
              <w:ind w:right="180"/>
              <w:spacing w:after="0" w:line="191" w:lineRule="exact"/>
              <w:rPr>
                <w:sz w:val="20"/>
                <w:szCs w:val="20"/>
                <w:color w:val="auto"/>
              </w:rPr>
            </w:pPr>
            <w:r>
              <w:rPr>
                <w:rFonts w:ascii="Arial" w:cs="Arial" w:eastAsia="Arial" w:hAnsi="Arial"/>
                <w:sz w:val="18"/>
                <w:szCs w:val="18"/>
                <w:b w:val="1"/>
                <w:bCs w:val="1"/>
                <w:color w:val="auto"/>
                <w:w w:val="93"/>
              </w:rPr>
              <w:t>Number of</w:t>
            </w:r>
          </w:p>
        </w:tc>
        <w:tc>
          <w:tcPr>
            <w:tcW w:w="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rPr>
              <w:t>Paid-in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Treasury</w:t>
            </w:r>
          </w:p>
        </w:tc>
        <w:tc>
          <w:tcPr>
            <w:tcW w:w="220" w:type="dxa"/>
            <w:vAlign w:val="bottom"/>
          </w:tcPr>
          <w:p>
            <w:pPr>
              <w:spacing w:after="0"/>
              <w:rPr>
                <w:sz w:val="16"/>
                <w:szCs w:val="16"/>
                <w:color w:val="auto"/>
              </w:rPr>
            </w:pPr>
          </w:p>
        </w:tc>
        <w:tc>
          <w:tcPr>
            <w:tcW w:w="11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5"/>
              </w:rPr>
              <w:t>Comprehensive</w:t>
            </w:r>
          </w:p>
        </w:tc>
        <w:tc>
          <w:tcPr>
            <w:tcW w:w="220" w:type="dxa"/>
            <w:vAlign w:val="bottom"/>
          </w:tcPr>
          <w:p>
            <w:pPr>
              <w:spacing w:after="0"/>
              <w:rPr>
                <w:sz w:val="16"/>
                <w:szCs w:val="16"/>
                <w:color w:val="auto"/>
              </w:rPr>
            </w:pPr>
          </w:p>
        </w:tc>
        <w:tc>
          <w:tcPr>
            <w:tcW w:w="10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6"/>
              </w:rPr>
              <w:t>Stockholders'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5"/>
              </w:rPr>
              <w:t>Par Value</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28,920</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4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$ 1,133,536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(1,020,506)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109,389</w:t>
            </w:r>
          </w:p>
        </w:tc>
        <w:tc>
          <w:tcPr>
            <w:tcW w:w="0" w:type="dxa"/>
            <w:vAlign w:val="bottom"/>
          </w:tcPr>
          <w:p>
            <w:pPr>
              <w:spacing w:after="0"/>
              <w:rPr>
                <w:sz w:val="1"/>
                <w:szCs w:val="1"/>
                <w:color w:val="auto"/>
              </w:rPr>
            </w:pPr>
          </w:p>
        </w:tc>
      </w:tr>
      <w:tr>
        <w:trPr>
          <w:trHeight w:val="182"/>
        </w:trPr>
        <w:tc>
          <w:tcPr>
            <w:tcW w:w="3160" w:type="dxa"/>
            <w:vAlign w:val="bottom"/>
            <w:tcBorders>
              <w:top w:val="single" w:sz="8" w:color="CCEEFF"/>
            </w:tcBorders>
          </w:tcPr>
          <w:p>
            <w:pPr>
              <w:ind w:left="340"/>
              <w:spacing w:after="0" w:line="182" w:lineRule="exact"/>
              <w:rPr>
                <w:sz w:val="20"/>
                <w:szCs w:val="20"/>
                <w:color w:val="auto"/>
              </w:rPr>
            </w:pPr>
            <w:r>
              <w:rPr>
                <w:rFonts w:ascii="Arial" w:cs="Arial" w:eastAsia="Arial" w:hAnsi="Arial"/>
                <w:sz w:val="18"/>
                <w:szCs w:val="18"/>
                <w:color w:val="auto"/>
                <w:w w:val="91"/>
              </w:rPr>
              <w:t>Issuance of common stock - restricted</w:t>
            </w: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40"/>
              <w:spacing w:after="0"/>
              <w:rPr>
                <w:sz w:val="20"/>
                <w:szCs w:val="20"/>
                <w:color w:val="auto"/>
              </w:rPr>
            </w:pPr>
            <w:r>
              <w:rPr>
                <w:rFonts w:ascii="Arial" w:cs="Arial" w:eastAsia="Arial" w:hAnsi="Arial"/>
                <w:sz w:val="18"/>
                <w:szCs w:val="18"/>
                <w:color w:val="auto"/>
              </w:rPr>
              <w:t>shares, net of forfeited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(8,710)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28,939</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4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$ 1,134,707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(1,029,216)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101,913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tcPr>
          <w:p>
            <w:pPr>
              <w:ind w:left="340"/>
              <w:spacing w:after="0" w:line="196" w:lineRule="exact"/>
              <w:rPr>
                <w:sz w:val="20"/>
                <w:szCs w:val="20"/>
                <w:color w:val="auto"/>
              </w:rPr>
            </w:pPr>
            <w:r>
              <w:rPr>
                <w:rFonts w:ascii="Arial" w:cs="Arial" w:eastAsia="Arial" w:hAnsi="Arial"/>
                <w:sz w:val="18"/>
                <w:szCs w:val="18"/>
                <w:color w:val="auto"/>
              </w:rPr>
              <w:t>Issuance of common stock - ESPP</w:t>
            </w:r>
          </w:p>
        </w:tc>
        <w:tc>
          <w:tcPr>
            <w:tcW w:w="10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34</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line="196" w:lineRule="exact"/>
              <w:rPr>
                <w:sz w:val="20"/>
                <w:szCs w:val="20"/>
                <w:color w:val="auto"/>
              </w:rPr>
            </w:pPr>
            <w:r>
              <w:rPr>
                <w:rFonts w:ascii="Arial" w:cs="Arial" w:eastAsia="Arial" w:hAnsi="Arial"/>
                <w:sz w:val="18"/>
                <w:szCs w:val="18"/>
                <w:color w:val="auto"/>
              </w:rPr>
              <w:t>127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2"/>
        </w:trPr>
        <w:tc>
          <w:tcPr>
            <w:tcW w:w="3160" w:type="dxa"/>
            <w:vAlign w:val="bottom"/>
            <w:tcBorders>
              <w:right w:val="single" w:sz="8" w:color="CCEEFF"/>
            </w:tcBorders>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Issuance of common stock - restricted</w:t>
            </w:r>
          </w:p>
        </w:tc>
        <w:tc>
          <w:tcPr>
            <w:tcW w:w="84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40" w:type="dxa"/>
            <w:vAlign w:val="bottom"/>
            <w:tcBorders>
              <w:left w:val="single" w:sz="8" w:color="CCEEFF"/>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Issuance of stock for 401(k) match</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4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0"/>
        </w:trPr>
        <w:tc>
          <w:tcPr>
            <w:tcW w:w="316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rPr>
              <w:t>Balance at September 30, 2022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29,337</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$ 1,136,028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(3,639)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1,798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(1,039,097)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95,383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60" w:type="dxa"/>
            <w:vAlign w:val="bottom"/>
            <w:tcBorders>
              <w:right w:val="single" w:sz="8" w:color="CCEEFF"/>
            </w:tcBorders>
            <w:shd w:val="clear" w:color="auto" w:fill="CCEEFF"/>
          </w:tcPr>
          <w:p>
            <w:pPr>
              <w:ind w:left="340"/>
              <w:spacing w:after="0" w:line="182" w:lineRule="exact"/>
              <w:rPr>
                <w:sz w:val="20"/>
                <w:szCs w:val="20"/>
                <w:color w:val="auto"/>
              </w:rPr>
            </w:pPr>
            <w:r>
              <w:rPr>
                <w:rFonts w:ascii="Arial" w:cs="Arial" w:eastAsia="Arial" w:hAnsi="Arial"/>
                <w:sz w:val="18"/>
                <w:szCs w:val="18"/>
                <w:color w:val="auto"/>
                <w:w w:val="91"/>
              </w:rPr>
              <w:t>Issuance of common stock - restricted</w:t>
            </w:r>
          </w:p>
        </w:tc>
        <w:tc>
          <w:tcPr>
            <w:tcW w:w="840" w:type="dxa"/>
            <w:vAlign w:val="bottom"/>
            <w:shd w:val="clear" w:color="auto" w:fill="CCEEFF"/>
          </w:tcPr>
          <w:p>
            <w:pPr>
              <w:spacing w:after="0"/>
              <w:rPr>
                <w:sz w:val="15"/>
                <w:szCs w:val="15"/>
                <w:color w:val="auto"/>
              </w:rPr>
            </w:pP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40" w:type="dxa"/>
            <w:vAlign w:val="bottom"/>
            <w:tcBorders>
              <w:left w:val="single" w:sz="8" w:color="CCEEFF"/>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Issuance of stock for 401(k) match</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left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0"/>
        </w:trPr>
        <w:tc>
          <w:tcPr>
            <w:tcW w:w="316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Balance at December 31, 2022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29,928</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$ 1,137,622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(3,639)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(1,048,678)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87,207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160" w:type="dxa"/>
            <w:vAlign w:val="bottom"/>
          </w:tcPr>
          <w:p>
            <w:pPr>
              <w:spacing w:after="0"/>
              <w:rPr>
                <w:sz w:val="24"/>
                <w:szCs w:val="24"/>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6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Additional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040" w:type="dxa"/>
            <w:vAlign w:val="bottom"/>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88"/>
              </w:rPr>
              <w:t>Number of</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Paid-in</w:t>
            </w:r>
          </w:p>
        </w:tc>
        <w:tc>
          <w:tcPr>
            <w:tcW w:w="1100" w:type="dxa"/>
            <w:vAlign w:val="bottom"/>
            <w:gridSpan w:val="4"/>
          </w:tcPr>
          <w:p>
            <w:pPr>
              <w:ind w:left="100"/>
              <w:spacing w:after="0" w:line="191" w:lineRule="exact"/>
              <w:rPr>
                <w:sz w:val="20"/>
                <w:szCs w:val="20"/>
                <w:color w:val="auto"/>
              </w:rPr>
            </w:pPr>
            <w:r>
              <w:rPr>
                <w:rFonts w:ascii="Arial" w:cs="Arial" w:eastAsia="Arial" w:hAnsi="Arial"/>
                <w:sz w:val="18"/>
                <w:szCs w:val="18"/>
                <w:b w:val="1"/>
                <w:bCs w:val="1"/>
                <w:color w:val="auto"/>
              </w:rPr>
              <w:t>Treasury</w:t>
            </w:r>
          </w:p>
        </w:tc>
        <w:tc>
          <w:tcPr>
            <w:tcW w:w="14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8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5"/>
              </w:rPr>
              <w:t>Par Value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27,988</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280</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$ 1,121,495</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(1,001,313)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116,592</w:t>
            </w:r>
          </w:p>
        </w:tc>
        <w:tc>
          <w:tcPr>
            <w:tcW w:w="0" w:type="dxa"/>
            <w:vAlign w:val="bottom"/>
          </w:tcPr>
          <w:p>
            <w:pPr>
              <w:spacing w:after="0"/>
              <w:rPr>
                <w:sz w:val="1"/>
                <w:szCs w:val="1"/>
                <w:color w:val="auto"/>
              </w:rPr>
            </w:pPr>
          </w:p>
        </w:tc>
      </w:tr>
      <w:tr>
        <w:trPr>
          <w:trHeight w:val="202"/>
        </w:trPr>
        <w:tc>
          <w:tcPr>
            <w:tcW w:w="3160" w:type="dxa"/>
            <w:vAlign w:val="bottom"/>
          </w:tcPr>
          <w:p>
            <w:pPr>
              <w:ind w:left="340"/>
              <w:spacing w:after="0" w:line="201" w:lineRule="exact"/>
              <w:rPr>
                <w:sz w:val="20"/>
                <w:szCs w:val="20"/>
                <w:color w:val="auto"/>
              </w:rPr>
            </w:pPr>
            <w:r>
              <w:rPr>
                <w:rFonts w:ascii="Arial" w:cs="Arial" w:eastAsia="Arial" w:hAnsi="Arial"/>
                <w:sz w:val="18"/>
                <w:szCs w:val="18"/>
                <w:color w:val="auto"/>
                <w:w w:val="99"/>
              </w:rPr>
              <w:t>Issuance of common stock - bonus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40"/>
              <w:spacing w:after="0"/>
              <w:rPr>
                <w:sz w:val="20"/>
                <w:szCs w:val="20"/>
                <w:color w:val="auto"/>
              </w:rPr>
            </w:pPr>
            <w:r>
              <w:rPr>
                <w:rFonts w:ascii="Arial" w:cs="Arial" w:eastAsia="Arial" w:hAnsi="Arial"/>
                <w:sz w:val="18"/>
                <w:szCs w:val="18"/>
                <w:color w:val="auto"/>
              </w:rPr>
              <w:t>payout</w:t>
            </w: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1,681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02"/>
        </w:trPr>
        <w:tc>
          <w:tcPr>
            <w:tcW w:w="3160" w:type="dxa"/>
            <w:vAlign w:val="bottom"/>
            <w:tcBorders>
              <w:right w:val="single" w:sz="8" w:color="CCEEFF"/>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Issuance of common stock -</w:t>
            </w:r>
          </w:p>
        </w:tc>
        <w:tc>
          <w:tcPr>
            <w:tcW w:w="84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shares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240" w:type="dxa"/>
            <w:vAlign w:val="bottom"/>
            <w:tcBorders>
              <w:left w:val="single" w:sz="8" w:color="CCEEFF"/>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Issuance of stock for 401(k) match</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rPr>
              <w:t>Neeltran acquisition</w:t>
            </w:r>
          </w:p>
        </w:tc>
        <w:tc>
          <w:tcPr>
            <w:tcW w:w="84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16"/>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Repurchase of treasury stock</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0"/>
        </w:trPr>
        <w:tc>
          <w:tcPr>
            <w:tcW w:w="316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840" w:type="dxa"/>
            <w:vAlign w:val="bottom"/>
          </w:tcPr>
          <w:p>
            <w:pPr>
              <w:jc w:val="right"/>
              <w:spacing w:after="0"/>
              <w:rPr>
                <w:sz w:val="20"/>
                <w:szCs w:val="20"/>
                <w:color w:val="auto"/>
              </w:rPr>
            </w:pPr>
            <w:r>
              <w:rPr>
                <w:rFonts w:ascii="Arial" w:cs="Arial" w:eastAsia="Arial" w:hAnsi="Arial"/>
                <w:sz w:val="18"/>
                <w:szCs w:val="18"/>
                <w:color w:val="auto"/>
              </w:rPr>
              <w:t>28,726</w:t>
            </w:r>
          </w:p>
        </w:tc>
        <w:tc>
          <w:tcPr>
            <w:tcW w:w="200" w:type="dxa"/>
            <w:vAlign w:val="bottom"/>
          </w:tcPr>
          <w:p>
            <w:pPr>
              <w:spacing w:after="0"/>
              <w:rPr>
                <w:sz w:val="18"/>
                <w:szCs w:val="18"/>
                <w:color w:val="auto"/>
              </w:rPr>
            </w:pPr>
          </w:p>
        </w:tc>
        <w:tc>
          <w:tcPr>
            <w:tcW w:w="560" w:type="dxa"/>
            <w:vAlign w:val="bottom"/>
            <w:gridSpan w:val="2"/>
          </w:tcPr>
          <w:p>
            <w:pPr>
              <w:jc w:val="right"/>
              <w:ind w:right="37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287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$ 1,128,961</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(3,639)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(1,006,716)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118,553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right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Issuance of common stock - ESPP</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lef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2"/>
        </w:trPr>
        <w:tc>
          <w:tcPr>
            <w:tcW w:w="3160" w:type="dxa"/>
            <w:vAlign w:val="bottom"/>
          </w:tcPr>
          <w:p>
            <w:pPr>
              <w:ind w:left="340"/>
              <w:spacing w:after="0" w:line="201" w:lineRule="exact"/>
              <w:rPr>
                <w:sz w:val="20"/>
                <w:szCs w:val="20"/>
                <w:color w:val="auto"/>
              </w:rPr>
            </w:pPr>
            <w:r>
              <w:rPr>
                <w:rFonts w:ascii="Arial" w:cs="Arial" w:eastAsia="Arial" w:hAnsi="Arial"/>
                <w:sz w:val="18"/>
                <w:szCs w:val="18"/>
                <w:color w:val="auto"/>
                <w:w w:val="99"/>
              </w:rPr>
              <w:t>Issuance of common stock - bonus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40"/>
              <w:spacing w:after="0"/>
              <w:rPr>
                <w:sz w:val="20"/>
                <w:szCs w:val="20"/>
                <w:color w:val="auto"/>
              </w:rPr>
            </w:pPr>
            <w:r>
              <w:rPr>
                <w:rFonts w:ascii="Arial" w:cs="Arial" w:eastAsia="Arial" w:hAnsi="Arial"/>
                <w:sz w:val="18"/>
                <w:szCs w:val="18"/>
                <w:color w:val="auto"/>
              </w:rPr>
              <w:t>payout</w:t>
            </w: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0"/>
        </w:trPr>
        <w:tc>
          <w:tcPr>
            <w:tcW w:w="3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5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288</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$ 1,130,921</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(1,011,150)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116,104</w:t>
            </w:r>
          </w:p>
        </w:tc>
        <w:tc>
          <w:tcPr>
            <w:tcW w:w="0" w:type="dxa"/>
            <w:vAlign w:val="bottom"/>
          </w:tcPr>
          <w:p>
            <w:pPr>
              <w:spacing w:after="0"/>
              <w:rPr>
                <w:sz w:val="1"/>
                <w:szCs w:val="1"/>
                <w:color w:val="auto"/>
              </w:rPr>
            </w:pPr>
          </w:p>
        </w:tc>
      </w:tr>
      <w:tr>
        <w:trPr>
          <w:trHeight w:val="182"/>
        </w:trPr>
        <w:tc>
          <w:tcPr>
            <w:tcW w:w="3160" w:type="dxa"/>
            <w:vAlign w:val="bottom"/>
            <w:tcBorders>
              <w:top w:val="single" w:sz="8" w:color="CCEEFF"/>
            </w:tcBorders>
          </w:tcPr>
          <w:p>
            <w:pPr>
              <w:ind w:left="340"/>
              <w:spacing w:after="0" w:line="182" w:lineRule="exact"/>
              <w:rPr>
                <w:sz w:val="20"/>
                <w:szCs w:val="20"/>
                <w:color w:val="auto"/>
              </w:rPr>
            </w:pPr>
            <w:r>
              <w:rPr>
                <w:rFonts w:ascii="Arial" w:cs="Arial" w:eastAsia="Arial" w:hAnsi="Arial"/>
                <w:sz w:val="18"/>
                <w:szCs w:val="18"/>
                <w:color w:val="auto"/>
              </w:rPr>
              <w:t>Issuance of common stock -</w:t>
            </w: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40"/>
              <w:spacing w:after="0"/>
              <w:rPr>
                <w:sz w:val="20"/>
                <w:szCs w:val="20"/>
                <w:color w:val="auto"/>
              </w:rPr>
            </w:pPr>
            <w:r>
              <w:rPr>
                <w:rFonts w:ascii="Arial" w:cs="Arial" w:eastAsia="Arial" w:hAnsi="Arial"/>
                <w:sz w:val="18"/>
                <w:szCs w:val="18"/>
                <w:color w:val="auto"/>
              </w:rPr>
              <w:t>restricted shares</w:t>
            </w: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0"/>
        </w:trPr>
        <w:tc>
          <w:tcPr>
            <w:tcW w:w="3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5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289</w:t>
            </w:r>
          </w:p>
        </w:tc>
        <w:tc>
          <w:tcPr>
            <w:tcW w:w="10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$ 1,132,155</w:t>
            </w: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(1,015,474)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113,035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241"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281"/>
              <w:spacing w:after="0"/>
              <w:rPr>
                <w:sz w:val="20"/>
                <w:szCs w:val="20"/>
                <w:color w:val="auto"/>
              </w:rPr>
            </w:pPr>
            <w:r>
              <w:rPr>
                <w:rFonts w:ascii="Arial" w:cs="Arial" w:eastAsia="Arial" w:hAnsi="Arial"/>
                <w:sz w:val="18"/>
                <w:szCs w:val="18"/>
                <w:b w:val="1"/>
                <w:bCs w:val="1"/>
                <w:color w:val="auto"/>
                <w:w w:val="98"/>
              </w:rPr>
              <w:t>Nine Months Ended December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(28,171)</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Adjustments to reconcile net loss to net cash used in operations: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4,104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4,009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3,492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3,513</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for excess and obsolete 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1,627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(2,136)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China dissolution</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1,921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Non-cash interest income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non-cash items</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407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Unrealized foreign exchange loss on cash and cash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Changes in operating asset and liability accounts: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(4,528)</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Inventory</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(16,324)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2,565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11,619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381</w:t>
            </w: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(17,067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Cash paid for acquisition, net of cash acquired</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(11,479)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the maturity of marketable securities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5,189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Change in other assets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Repurchase of treasury stock</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Repayment of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Proceeds from exercise of employee stock options and ESPP</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125</w:t>
            </w:r>
          </w:p>
        </w:tc>
      </w:tr>
      <w:tr>
        <w:trPr>
          <w:trHeight w:val="210"/>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(18,135)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(22,983)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49,486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75,539</w:t>
            </w:r>
          </w:p>
        </w:tc>
      </w:tr>
      <w:tr>
        <w:trPr>
          <w:trHeight w:val="249"/>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31,351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7"/>
        </w:trPr>
        <w:tc>
          <w:tcPr>
            <w:tcW w:w="8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paid for income taxes, net of refunds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280</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445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Issuance of common stock in connection with the purchase of Neeltran, Inc.</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4,387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Issuance of common stock to settle liabilities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476</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2,643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Operations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 and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 and that protect and expand the capability of the Navy’s fleet. The Company’s system level products leverage its proprietary “smart materials” and “smart software and controls” to provide enhanced resiliency and improved performance of megawatt-scale power flow.</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These unaudited condensed consolidated financial statements of the Company have been prepared on a going concern basis in accordance with United States generally accepted accounting principles (“GAAP”) and the Securities and Exchange Commission’s (“SEC”) instructions to Form 10-Q. The going concern basis of presentation assumes that the Company will continue operations and will be able to realize its assets and discharge its liabilities and commitments in the normal course of business. Certain information and footnote disclosures normally included in the financial statements prepared in accordance with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December 31, 2022 and 2021 and the financial position at December 31, 2022; however, these results are not necessarily indicative of results which may be expected for the full year. The interim condensed consolidated financial statements, and notes thereto, should be read in conjunction with the audited consolidated financial statements for the year ended March 31, 2022, and notes thereto, included in the Company’s Annual Report on Form 10-K for the year ended March 31, 2022 filed with the SEC on June 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historically experienced recurring operating losses and as of December 31, 2022, the Company had an accumulated deficit of $1,049 million. In addition, the Company has historically experienced recurring negative operating cash flows. At December 31, 2022, the Company had cash and cash equivalents of $23.7 million. Cash used in operations for the nine months ended December 31, 2022 was $17.1 million.</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February 2021, the Company filed a shelf registration statement on Form S-3 that will expire in February 2024 (the “Form S-3”). The Form S-3 allows the Company to offer and sell from time-to-time up to $250 million of common stock, debt securities, warrants or units comprised of any combination of these securities. The Form S-3 is intended to provide the Company flexibility to conduct registered sales of the Company's securities, subject to market conditions, in order to fund the Company's future capital needs. The terms of any future offering under the Form S-3 will be established at the time of such offering and will be described in a prospectus supplement filed with the SEC prior to the completion of any such offering.</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experiencing substantial inflationary pressure in its supply chain and some delays in sourcing materials needed for its products resulting in some production disruption, both of which have increased the Company’s cost of revenues and decreased gross margin. Changes in macroeconomic conditions arising from the COVID-19 pandemic or for other reasons, such as the ongoing war between Russia and Ukraine, inflation, rising interest rates, labor force availability, sourcing, material delays and global supply chain disruptions could have a material adverse effect on the Company’s business, financial condition and results of operation.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time-to-time the Company may undertake restructuring activities in order to align the global organization in a manner that the Company believes will better position it to achieve its long-term goals. In January 2023, the Company undertook a reduction in force that involved approximately 5% of the global workforce. This restructuring is expected to incur an immaterial amount of cash expense and to result in annualized cost savings of approximately $5 million, beginning in fiscal year 2023.</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believes that based on the information presented above and its quarterly management assessment, it has sufficient liquidity to fund its operations and capital expenditures for the next twelve months following the issuance of the financial statements for the nine months ended December 31, 2022. The Company’s liquidity is highly dependent on its ability to increase revenues, its ability to control its operating costs, and its ability to raise additional capital, if necessary. The impact of the COVID-19 pandemic and other sources of instability, including the war between Russia and Ukraine,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 of Neeltran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6, 2021, the Company entered into a Purchase and Sale Agreement (the "Real Property Purchase Agreement") and a Stock Purchase Agreement (the "Neeltran Stock Purchase Agreement") with the selling equity holders named therein. Also on May 6, 2021</w:t>
      </w:r>
      <w:r>
        <w:rPr>
          <w:rFonts w:ascii="Arial" w:cs="Arial" w:eastAsia="Arial" w:hAnsi="Arial"/>
          <w:sz w:val="18"/>
          <w:szCs w:val="18"/>
          <w:i w:val="1"/>
          <w:iCs w:val="1"/>
          <w:color w:val="auto"/>
        </w:rPr>
        <w:t>,</w:t>
      </w:r>
      <w:r>
        <w:rPr>
          <w:rFonts w:ascii="Arial" w:cs="Arial" w:eastAsia="Arial" w:hAnsi="Arial"/>
          <w:sz w:val="18"/>
          <w:szCs w:val="18"/>
          <w:color w:val="auto"/>
        </w:rPr>
        <w:t xml:space="preserve"> pursuant to the terms of the Real Property Purchase Agreement, the Company's wholly-owned Connecticut limited liability company, AMSC Husky LLC ("AMSC Husky"), purchased the real property that serves as Neeltran's headquarters for $4.3 million, of which (a) $2.4 million was paid in immediately available funds by AMSC Husky to the owners of such real property, and (b) $1.9 million was paid directly to TD Bank as full payment for the outstanding indebtedness secured by the mortgage on such real property.</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terms of the Neeltran Stock Purchase Agreement, the Company purchased all of the issued and outstanding shares of capital stock of Neeltran, Inc., a Connecticut corporation ("Neeltran") and Neeltran International, Inc., a Connecticut corporation ("International") for $1.0 million in cash and 301,556 shares of the Company's common stock, $.01 par value per share ("AMSC Shares"), that were paid and issued, respectively, to the Neeltran selling stockholders. The Company also paid $1.1 million to International selling stockholders to pay off previous loans made by them to Neeltran.</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Additionally, the Company paid approximately $7.6 million, including $1.9 million of indebtedness secured by the mortgage on the real property as described above, directly to Neeltran lenders at closing to extinguish outstanding Neeltran indebtedness to third parties. The total purchase price of $16.4 million includes cash paid, the fair value of the AMSC Shares issued at closing and the debt payoff on behalf of the sellers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Issuance of 301,556 shares of Company's common stock</w:t>
            </w:r>
          </w:p>
        </w:tc>
        <w:tc>
          <w:tcPr>
            <w:tcW w:w="2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payment to third party lenders on behalf of sellers</w:t>
            </w:r>
          </w:p>
        </w:tc>
        <w:tc>
          <w:tcPr>
            <w:tcW w:w="28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880" w:type="dxa"/>
            <w:vAlign w:val="bottom"/>
          </w:tcPr>
          <w:p>
            <w:pPr>
              <w:spacing w:after="0"/>
              <w:rPr>
                <w:sz w:val="20"/>
                <w:szCs w:val="20"/>
                <w:color w:val="auto"/>
              </w:rPr>
            </w:pPr>
            <w:r>
              <w:rPr>
                <w:rFonts w:ascii="Arial" w:cs="Arial" w:eastAsia="Arial" w:hAnsi="Arial"/>
                <w:sz w:val="18"/>
                <w:szCs w:val="18"/>
                <w:color w:val="auto"/>
              </w:rPr>
              <w:t>Total consideration</w:t>
            </w:r>
          </w:p>
        </w:tc>
        <w:tc>
          <w:tcPr>
            <w:tcW w:w="3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Neeltran Acquisition completed by the Company during the fiscal year ended March 31, 2022 has been accounted for under the purchase method of accounting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The Company allocated the purchase price to the assets acquired and liabilities assumed at their estimated fair values as of the date of Neeltran Acquisition. The excess of the purchase price paid by the Company over the estimated fair value of net assets acquired has been recorded as goodwill. As Neeltran was previously a private company, the adoption of Accounting Standards Codification 842 ("ASC 842") was completed as part of the Neeltran Acquisition. See Note 15, "Leases" for further details. Neeltran had previously adopted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as part of prior year audited financial statements.</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 of the assets acquired and liabilities assumed in connection with the Neeltran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09"/>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3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ind w:right="80" w:firstLine="675"/>
        <w:spacing w:after="0" w:line="257" w:lineRule="auto"/>
        <w:rPr>
          <w:sz w:val="20"/>
          <w:szCs w:val="20"/>
          <w:color w:val="auto"/>
        </w:rPr>
      </w:pPr>
      <w:r>
        <w:rPr>
          <w:rFonts w:ascii="Arial" w:cs="Arial" w:eastAsia="Arial" w:hAnsi="Arial"/>
          <w:sz w:val="18"/>
          <w:szCs w:val="18"/>
          <w:color w:val="auto"/>
        </w:rPr>
        <w:t>Inventory include s a $0.6 million adjustment to step up the inventory balance to fair value consistent with the purchase price allocation. The fair value was based on the estimated selling price of the inventory, less the remaining manufacturing and selling cost and a normal profit margin on those manufacturing and selling efforts. The inventory step up adjustment increased cost of revenue by $0.6 million in the twelve month period ended March 31, 2022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Backlog of $0.1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698"/>
        <w:spacing w:after="0" w:line="263" w:lineRule="auto"/>
        <w:rPr>
          <w:sz w:val="20"/>
          <w:szCs w:val="20"/>
          <w:color w:val="auto"/>
        </w:rPr>
      </w:pPr>
      <w:r>
        <w:rPr>
          <w:rFonts w:ascii="Arial" w:cs="Arial" w:eastAsia="Arial" w:hAnsi="Arial"/>
          <w:sz w:val="18"/>
          <w:szCs w:val="18"/>
          <w:color w:val="auto"/>
        </w:rPr>
        <w:t>Customer relationships of $3.5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pacing w:after="0" w:line="184" w:lineRule="exact"/>
        <w:rPr>
          <w:sz w:val="20"/>
          <w:szCs w:val="20"/>
          <w:color w:val="auto"/>
        </w:rPr>
      </w:pPr>
    </w:p>
    <w:p>
      <w:pPr>
        <w:jc w:val="both"/>
        <w:ind w:firstLine="698"/>
        <w:spacing w:after="0" w:line="308" w:lineRule="auto"/>
        <w:rPr>
          <w:sz w:val="20"/>
          <w:szCs w:val="20"/>
          <w:color w:val="auto"/>
        </w:rPr>
      </w:pPr>
      <w:r>
        <w:rPr>
          <w:rFonts w:ascii="Arial" w:cs="Arial" w:eastAsia="Arial" w:hAnsi="Arial"/>
          <w:sz w:val="17"/>
          <w:szCs w:val="17"/>
          <w:color w:val="auto"/>
        </w:rPr>
        <w:t>Trade names and trademarks of $1.2 million were reviewed using the assumption that the Company would continue to utilize the Neeltran trade name indefinitely. The relief from royalty method was utilized using a 1% royalty rate on revenues with a 24.5% discount rate over 15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65" w:gutter="0" w:footer="0" w:header="0"/>
        </w:sectPr>
      </w:pPr>
    </w:p>
    <w:bookmarkStart w:id="9" w:name="page10"/>
    <w:bookmarkEnd w:id="9"/>
    <w:p>
      <w:pPr>
        <w:jc w:val="both"/>
        <w:ind w:firstLine="648"/>
        <w:spacing w:after="0" w:line="259" w:lineRule="auto"/>
        <w:rPr>
          <w:sz w:val="20"/>
          <w:szCs w:val="20"/>
          <w:color w:val="auto"/>
        </w:rPr>
      </w:pPr>
      <w:r>
        <w:rPr>
          <w:rFonts w:ascii="Arial" w:cs="Arial" w:eastAsia="Arial" w:hAnsi="Arial"/>
          <w:sz w:val="18"/>
          <w:szCs w:val="18"/>
          <w:color w:val="auto"/>
        </w:rPr>
        <w:t>The goodwill represents the value associated with the acquired workforce and expected synergies related to the business combinations of the two companies. Goodwill resulting from the Neeltran Acquisition was assigned to the Company's Grid business segment. Goodwill recognized in the Neeltran Acquisition is not deductible for tax purposes. The Company has finalized its purchase price allocation for the Neeltran Acquisition, and there were no changes to the net assets and goodwill recorded by the Company as of May 6, 2021.</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Unaudited Pro Forma Operating Results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unaudited pro forma condensed consolidated statement of operations for the three and nine months ended December 31, 2022 and 2021 is presented as if the Neeltran Acquisition had occurred on April 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82,957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(9,209)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(4,380)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(26,184)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(16,066)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(14,323)</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(0.34)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Shares - basic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27,954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27,352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27,794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27,185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 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27,954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27,185</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pro forma amounts include the historical operating results of the Company, and Neeltran, with appropriate adjustments that give effect to acquisition related costs, income taxes, intangible amortization resulting from the Neeltran Acquisition and certain conforming accounting policies of the Company. The pro forma amounts are not necessarily indicative of the operating results that would have occurred if the Neeltran Acquisition and related transactions had been completed at the beginning of the applicable periods presented. In addition, the pro forma amounts are not necessarily indicative of operating results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NEPSI</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 2020 (the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Prior to the NEPSI Acquisition, the Company had purchased $0.4 million of products from NEPSI in fiscal year 2019 for which NEPSI was paid and had recorded revenue.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NEPSI Stock Purchase Agreement, the Company acquired all of the issued and outstanding shares of NEPSI, and membership interest in the realty entity, for which the Company paid $26.0 million in cash and issued 873,657 restricted shares of the Company’s common stock. Additionally, the Company may issue to the selling stockholders up to an additional 1,000,000 shares of common stock upon NEPSI’s achievement of specified revenue objectives during varying periods of up to four years following closing of the NEPSI Acquisition. This contingent consideration is recorded as a derivative liability based on a Monte Carlo simulation to determine fair value at the time of issuance. NEPSI is now a wholly-owned subsidiary of the Company and is operated and reported as a component of its Grid business unit.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NEPSI Acquisition completed by the Company during the fiscal year ended March 31, 2021 has been accounted for under the purchase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allocated the purchase price to the assets acquired and liabilities assumed at their estimated fair values as of the date of NEPSI Acquisition. The excess of the purchase price paid by the Company over the estimated fair value of net assets acquired has been recorded as goodwill. As NEPSI was previously a private company, the adoption of ASC 606 was completed as part of the NEPSI Acquisition. See Note 3, "Revenue Recognition" for further details. There were no leases acquired and the NEPSI Acquisition had no impact to the Company's reporting under ASC 842.</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total purchase price of approximately $42.4 million includes the fair value of shares of the Company’s common stock issued at closing, cash paid, and contingent consideration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Issuance of 873,657 shares of Company’s common stock</w:t>
            </w: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7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900" w:type="dxa"/>
            <w:vAlign w:val="bottom"/>
          </w:tcPr>
          <w:p>
            <w:pPr>
              <w:spacing w:after="0"/>
              <w:rPr>
                <w:sz w:val="20"/>
                <w:szCs w:val="20"/>
                <w:color w:val="auto"/>
              </w:rPr>
            </w:pPr>
            <w:r>
              <w:rPr>
                <w:rFonts w:ascii="Arial" w:cs="Arial" w:eastAsia="Arial" w:hAnsi="Arial"/>
                <w:sz w:val="18"/>
                <w:szCs w:val="18"/>
                <w:color w:val="auto"/>
              </w:rPr>
              <w:t>Total consideration</w:t>
            </w:r>
          </w:p>
        </w:tc>
        <w:tc>
          <w:tcPr>
            <w:tcW w:w="3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consideration consists of (a) cash of $26.0 million, (b) issuance of the Company's common stock, using $14.23 per share, which was the closing price on the day that the Company acquired NEPSI, and (c) $4.0 million of contingent consideration for the earnout liability valued as of the NEPSI Acquisition Date. NEPSI Acquisition costs of $0.3 million were recorded in selling, general and administrative ("SG&amp;A") costs for the fiscal year ended March 31,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 contingent consideration was determined using a Monte Carlo model and is accounted for as a derivative liability which is revalued at the fair value determined at each subsequent balance sheet date until the contingencies are resolved and the shares to be issued are determined, with the change in fair value recorded in the current period operating loss or (income). See Note 13, "Contingent Consideration" for further details and a summary of key assumptions used to determine fair value in each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33" w:gutter="0" w:footer="0" w:header="0"/>
        </w:sectPr>
      </w:pPr>
    </w:p>
    <w:bookmarkStart w:id="10" w:name="page11"/>
    <w:bookmarkEnd w:id="10"/>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values of the assets acquired and liabilities assumed and related deferred income taxes in connection with the NEPSI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Inventory</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revenue</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09"/>
        </w:trPr>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Backlog</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09"/>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09"/>
        </w:trPr>
        <w:tc>
          <w:tcPr>
            <w:tcW w:w="71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Inventory includes a $1.0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$1.0 million step up adjustment increased cost of revenue in the fiscal year ended March 31, 2021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Backlog of $0.6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Customer relationships of $6.1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Trade names and trademarks of $0.6 million were reviewed, using the assumption that the Company would continue to utilize the NEPSI trade name indefinitely. The relief from royalty method was utilized using an 8% royalty rate on revenues with a 13% discount rate over 8 years.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Goodwill represents the value associated with the acquired workforce and expected synergies related to the business combination of the two companies. Goodwill resulting from the NEPSI Acquisition was assigned to the Company’s Grid business segment. Goodwill recognized in the NEPSI Acquisition is not deductible for tax purposes. The $1.7 million of deferred tax liability is primarily related to inventory step up and intangibles.</w:t>
      </w:r>
    </w:p>
    <w:p>
      <w:pPr>
        <w:spacing w:after="0" w:line="1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revenues in its Grid business segment are derived primarily through enabling the transmission and distribution of power, providing planning services that allow it to identify power grid needs and risks, and developing ship protection systems for the U.S. Navy. The Company’s revenues in its Wind business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ASC 606.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In the three and nine months ended December 31, 2022, 87% and 80% of revenue, respectively, was recognized at the point in time when control transferred to the customer, with the remainder being recognized over time. In the three and nine months ended December 31, 2021, 79% and 76% of revenue, respectively, was recognized at the point in time when control transferred to the customer, with the remainder being recognized over time.</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 The Company recorded no grant revenue in each of the three and nine months ended December 31, 2022. In the three and nine months ended December 31, 2021, the Company recorded $0.1 million and $0.9 million in grant revenue, respectively, which is included in the Company’s Grid business segment revenue.</w:t>
      </w:r>
    </w:p>
    <w:p>
      <w:pPr>
        <w:spacing w:after="0" w:line="16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the Company's service and technology development product line, there are several different types of transactions and each begins with a contract with a customer that summarizes each product sold to a customer, which typically represent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a reasonable profit margin cannot be assured throughout the entire contract,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policy is not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in such cases the long-term amount will be assessed for materiality. The Company has elected not to adjust the promised amount of consideration for the effects of a significant financing component if the period of financing is twelve months or less.</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monitors costs to meet our obligations on our customer contracts. When it is evident that there is a loss expected on a contract, a contract loss is accrued in the period. Several long-term contracts that were acquired from Neeltran were impacted by higher than planned costs due to required design changes and inflation on material costs, resulting in an increase to the contract loss accrual of $1.6 million and $3.2 million in the three and nine month period ended December 31, 2022 which negatively impacted the Company's gross margins.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ectPr>
          <w:pgSz w:w="11900" w:h="16838" w:orient="portrait"/>
          <w:cols w:equalWidth="0" w:num="1">
            <w:col w:w="11240"/>
          </w:cols>
          <w:pgMar w:left="320" w:top="796" w:right="339" w:bottom="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The following tables disaggregate the Company’s revenue by product line and by shipment destination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31, 2022</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1"/>
              </w:rPr>
              <w:t>31, 2022</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Grid</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Grid</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19,475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61,680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1,334</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4,657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1,760</w:t>
            </w: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17,010</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51,934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EMEA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2,039</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3,788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394"/>
        </w:trPr>
        <w:tc>
          <w:tcPr>
            <w:tcW w:w="5980" w:type="dxa"/>
            <w:vAlign w:val="bottom"/>
          </w:tcPr>
          <w:p>
            <w:pPr>
              <w:spacing w:after="0"/>
              <w:rPr>
                <w:sz w:val="24"/>
                <w:szCs w:val="24"/>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31, 2021</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1"/>
              </w:rPr>
              <w:t>31, 2021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Grid</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Grid</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23,416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67,605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1,634</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5,564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2,789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25,050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73,169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6,957</w:t>
            </w: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16,739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57,498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7,064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EMEA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1,247</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4,740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25,050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73,169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2022, and 2021,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8, “Accounts Receivable” and Note 9,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0"/>
                <w:szCs w:val="20"/>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6,492</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due to customer billings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48,013</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Increase (decrease) due to recognition of revenue based on transfer of control of performance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9,544</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(36,452)</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Other changes and FX impact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r>
      <w:tr>
        <w:trPr>
          <w:trHeight w:val="250"/>
        </w:trPr>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as of December 31, 2022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5,765</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Increase for balance acquired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Increase (decrease) due to customer billings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(11,214)</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55,354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1"/>
              </w:rPr>
              <w:t>Increase (decrease) due to recognition of revenue based on transfer of control of performance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obligations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12,186</w:t>
            </w: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(55,318)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changes and FX impact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6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Ending balance as of December 31, 2021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6,737</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615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31,478</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55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14" w:name="page15"/>
    <w:bookmarkEnd w:id="14"/>
    <w:p>
      <w:pPr>
        <w:jc w:val="both"/>
        <w:ind w:firstLine="648"/>
        <w:spacing w:after="0" w:line="289" w:lineRule="auto"/>
        <w:rPr>
          <w:sz w:val="20"/>
          <w:szCs w:val="20"/>
          <w:color w:val="auto"/>
        </w:rPr>
      </w:pPr>
      <w:r>
        <w:rPr>
          <w:rFonts w:ascii="Arial" w:cs="Arial" w:eastAsia="Arial" w:hAnsi="Arial"/>
          <w:sz w:val="16"/>
          <w:szCs w:val="16"/>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December 31, 2022, the Company had outstanding performance obligations on existing contracts under ASC 606 to be recognized in the next twelve months of approximately $112.1 million. There are also approximately $30.4 million of outstanding performance obligations to be recognized over a period of thirteen to sixty months. The remaining performance obligations are subject to customer actions and therefore the timing of revenue recognition cannot be reasonably estimated. The twelve-month performance obligations include anticipated shipments to Inox based on the twelve-month rolling forecast provided by Inox on the multi-year supply contract. The quantities specified in any forecast provided by Inox related to the multi-year supply contract are firm and irrevocable for the first three months of a twelve-month rolling forecast. The timing of the performance obligations beyond the twelve-month forecast provided by Inox are not determinable and therefore are not included in the total remaining performance obligations.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customers who represented 10% or more of the Company’s total revenues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6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1"/>
              </w:rPr>
              <w:t>Nine Months Ended</w:t>
            </w:r>
          </w:p>
        </w:tc>
      </w:tr>
      <w:tr>
        <w:trPr>
          <w:trHeight w:val="255"/>
        </w:trPr>
        <w:tc>
          <w:tcPr>
            <w:tcW w:w="3500" w:type="dxa"/>
            <w:vAlign w:val="bottom"/>
          </w:tcPr>
          <w:p>
            <w:pPr>
              <w:spacing w:after="0"/>
              <w:rPr>
                <w:sz w:val="22"/>
                <w:szCs w:val="22"/>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Reportable</w:t>
            </w:r>
          </w:p>
        </w:tc>
        <w:tc>
          <w:tcPr>
            <w:tcW w:w="27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26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7"/>
        </w:trPr>
        <w:tc>
          <w:tcPr>
            <w:tcW w:w="35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Inox Wind Limited</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Wind</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&lt;10%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&lt;10%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&lt;10%</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Fuji Bridex Pte Ltd</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Grid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&lt;10%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accounts for its stock-based compensation at fair value. The following table summarizes stock-based compensation expense by financial statement line item for the three and nine months ended December 31, 2022 and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254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Nine Months Ended December</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w:t>
            </w: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issued 550,000 shares of restricted stock during the three months ended December 31, 2022, and 888,500 shares of restricted stock and 25,806 shares of immediately vested common stock during the nine months ended December 31, 2022. The Company issued 61,000 shares of restricted stock during the three months ended December 31, 2021, and 370,700 shares of restricted stock and 166,648 shares of immediately vested common stock, of which 158,356 shares were issued in-lieu of cash bonuses during the nine months ended December 31, 2021.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spacing w:after="0" w:line="19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estimated fair value of the Company’s stock-based awards, less expected annual forfeitures, is amortized over the awards’ service period. The total unrecognized compensation cost for unvested stock options was $0.1 million during the nine months ended December 31, 2022. This expense will be recognized over a weighted average of approximately 1.4 years. The total unrecognized compensation cost for unvested outstanding restricted stock was $6.1 million at December 31, 2022. This expense will be recognized over a weighted-average expense period of approximately 1.7 years.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granted 20,564 stock options during the nine months ended December 31, 2022. The Company did not grant any stock options during the three months ended December 31, 2022 or the three and nine months ended December 31, 2021. The stock options granted during the nine months ended December 31, 2022 will vest over 2 years. The weighted average assumptions used in the Black Scholes valuation model for stock options granted during the nine months ended December 31, 2022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20" w:type="dxa"/>
            <w:vAlign w:val="bottom"/>
            <w:gridSpan w:val="4"/>
          </w:tcPr>
          <w:p>
            <w:pPr>
              <w:ind w:left="400"/>
              <w:spacing w:after="0"/>
              <w:rPr>
                <w:sz w:val="20"/>
                <w:szCs w:val="20"/>
                <w:color w:val="auto"/>
              </w:rPr>
            </w:pPr>
            <w:r>
              <w:rPr>
                <w:rFonts w:ascii="Arial" w:cs="Arial" w:eastAsia="Arial" w:hAnsi="Arial"/>
                <w:sz w:val="18"/>
                <w:szCs w:val="18"/>
                <w:b w:val="1"/>
                <w:bCs w:val="1"/>
                <w:color w:val="auto"/>
                <w:w w:val="95"/>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ind w:left="60"/>
              <w:spacing w:after="0"/>
              <w:rPr>
                <w:sz w:val="20"/>
                <w:szCs w:val="20"/>
                <w:color w:val="auto"/>
              </w:rPr>
            </w:pPr>
            <w:r>
              <w:rPr>
                <w:rFonts w:ascii="Arial" w:cs="Arial" w:eastAsia="Arial" w:hAnsi="Arial"/>
                <w:sz w:val="18"/>
                <w:szCs w:val="18"/>
                <w:b w:val="1"/>
                <w:bCs w:val="1"/>
                <w:color w:val="auto"/>
                <w:w w:val="96"/>
              </w:rPr>
              <w:t>Nine Months Ended December</w:t>
            </w:r>
          </w:p>
        </w:tc>
      </w:tr>
      <w:tr>
        <w:trPr>
          <w:trHeight w:val="234"/>
        </w:trPr>
        <w:tc>
          <w:tcPr>
            <w:tcW w:w="5980" w:type="dxa"/>
            <w:vAlign w:val="bottom"/>
          </w:tcPr>
          <w:p>
            <w:pPr>
              <w:spacing w:after="0"/>
              <w:rPr>
                <w:sz w:val="20"/>
                <w:szCs w:val="20"/>
                <w:color w:val="auto"/>
              </w:rPr>
            </w:pPr>
          </w:p>
        </w:tc>
        <w:tc>
          <w:tcPr>
            <w:tcW w:w="212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4"/>
              </w:rPr>
              <w:t>2022</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71.40%</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N/A</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N/A</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None</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Computation of Net Loss per Common Share</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Basic net loss per share (“EPS”) is computed by dividing net loss by the weighted-average number of common shares outstanding for the period. Where applicable,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not met are excluded from the computation of diluted EPS as the effect of their inclusion would be anti-dilutive. For each of the three and nine months ended December 31, 2022, and 2021, 1.1 million shares were not included in the calculation of diluted EPS. Of these, 1.0 million relate to shares tied to the derivative liability for which the contingency has not yet been met, and 0.1 million relate to outstanding stock options as they were considered anti-dilutive.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reconciles the numerators and denominators of the earnings per share calculation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(in thousands, except per share data):</w:t>
      </w:r>
    </w:p>
    <w:p>
      <w:pPr>
        <w:sectPr>
          <w:pgSz w:w="11900" w:h="16838" w:orient="portrait"/>
          <w:cols w:equalWidth="0" w:num="1">
            <w:col w:w="11240"/>
          </w:cols>
          <w:pgMar w:left="320" w:top="611" w:right="3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4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(9,581)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(28,171)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(14,161)</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Weighted-average shares of common stock outstanding</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29,354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28,418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28,884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28,234</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subject to repurchase</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w:t>
            </w:r>
          </w:p>
        </w:tc>
      </w:tr>
      <w:tr>
        <w:trPr>
          <w:trHeight w:val="20"/>
        </w:trPr>
        <w:tc>
          <w:tcPr>
            <w:tcW w:w="47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760" w:type="dxa"/>
            <w:vAlign w:val="bottom"/>
          </w:tcPr>
          <w:p>
            <w:pPr>
              <w:spacing w:after="0"/>
              <w:rPr>
                <w:sz w:val="20"/>
                <w:szCs w:val="20"/>
                <w:color w:val="auto"/>
              </w:rPr>
            </w:pPr>
            <w:r>
              <w:rPr>
                <w:rFonts w:ascii="Arial" w:cs="Arial" w:eastAsia="Arial" w:hAnsi="Arial"/>
                <w:sz w:val="18"/>
                <w:szCs w:val="18"/>
                <w:color w:val="auto"/>
              </w:rPr>
              <w:t>Shares used in per-share calculation ― basic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27,954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27,352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27,794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27,145</w:t>
            </w:r>
          </w:p>
        </w:tc>
      </w:tr>
      <w:tr>
        <w:trPr>
          <w:trHeight w:val="23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 ― diluted</w:t>
            </w: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27,954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27,352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27,794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27,145</w:t>
            </w: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760" w:type="dxa"/>
            <w:vAlign w:val="bottom"/>
          </w:tcPr>
          <w:p>
            <w:pPr>
              <w:spacing w:after="0" w:line="196" w:lineRule="exact"/>
              <w:rPr>
                <w:sz w:val="20"/>
                <w:szCs w:val="20"/>
                <w:color w:val="auto"/>
              </w:rPr>
            </w:pPr>
            <w:r>
              <w:rPr>
                <w:rFonts w:ascii="Arial" w:cs="Arial" w:eastAsia="Arial" w:hAnsi="Arial"/>
                <w:sz w:val="18"/>
                <w:szCs w:val="18"/>
                <w:color w:val="auto"/>
              </w:rPr>
              <w:t>Net loss per share ― basic</w:t>
            </w:r>
          </w:p>
        </w:tc>
        <w:tc>
          <w:tcPr>
            <w:tcW w:w="14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(0.34)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(0.16)</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(1.01)</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(0.52)</w:t>
            </w:r>
          </w:p>
        </w:tc>
      </w:tr>
      <w:tr>
        <w:trPr>
          <w:trHeight w:val="20"/>
        </w:trPr>
        <w:tc>
          <w:tcPr>
            <w:tcW w:w="4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 diluted</w:t>
            </w:r>
          </w:p>
        </w:tc>
        <w:tc>
          <w:tcPr>
            <w:tcW w:w="146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(0.34)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(0.52)</w:t>
            </w:r>
          </w:p>
        </w:tc>
      </w:tr>
      <w:tr>
        <w:trPr>
          <w:trHeight w:val="413"/>
        </w:trPr>
        <w:tc>
          <w:tcPr>
            <w:tcW w:w="476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7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6. 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left="140" w:right="220" w:firstLine="486"/>
        <w:spacing w:after="0" w:line="257"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purchase method of accounting. The Company's goodwill balance relates to the Neeltran Acquisition in fiscal 2021, the NEPSI Acquisition in fiscal 2020, and the acquisition of Infinia Technology Corporation in fiscal 2017 and is reported in the Grid business segment. Goodwill is not amortized but reviewed for impairment. Goodwill is reviewed annually and whenever events or changes in circumstances indicate that the carrying value of the goodwill might not be recoverable.</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provides a roll forward of the changes in the Company's Grid business segment goodwill balance: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Goodwill</w:t>
            </w:r>
          </w:p>
        </w:tc>
        <w:tc>
          <w:tcPr>
            <w:tcW w:w="100" w:type="dxa"/>
            <w:vAlign w:val="bottom"/>
          </w:tcPr>
          <w:p>
            <w:pPr>
              <w:spacing w:after="0"/>
              <w:rPr>
                <w:sz w:val="20"/>
                <w:szCs w:val="20"/>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2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34,634</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Neeltran Acquisition</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8,837</w:t>
            </w: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2022</w:t>
            </w:r>
          </w:p>
        </w:tc>
        <w:tc>
          <w:tcPr>
            <w:tcW w:w="2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Less impairment loss</w:t>
            </w:r>
          </w:p>
        </w:tc>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2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98"/>
        </w:trPr>
        <w:tc>
          <w:tcPr>
            <w:tcW w:w="7560" w:type="dxa"/>
            <w:vAlign w:val="bottom"/>
          </w:tcPr>
          <w:p>
            <w:pPr>
              <w:ind w:left="660"/>
              <w:spacing w:after="0"/>
              <w:rPr>
                <w:sz w:val="20"/>
                <w:szCs w:val="20"/>
                <w:color w:val="auto"/>
              </w:rPr>
            </w:pPr>
            <w:r>
              <w:rPr>
                <w:rFonts w:ascii="Arial" w:cs="Arial" w:eastAsia="Arial" w:hAnsi="Arial"/>
                <w:sz w:val="18"/>
                <w:szCs w:val="18"/>
                <w:color w:val="auto"/>
                <w:w w:val="99"/>
              </w:rPr>
              <w:t>The Company did not identify any triggering events in the three and nine months ended</w:t>
            </w:r>
          </w:p>
        </w:tc>
        <w:tc>
          <w:tcPr>
            <w:tcW w:w="3680" w:type="dxa"/>
            <w:vAlign w:val="bottom"/>
            <w:gridSpan w:val="4"/>
          </w:tcPr>
          <w:p>
            <w:pPr>
              <w:ind w:left="80"/>
              <w:spacing w:after="0"/>
              <w:rPr>
                <w:sz w:val="20"/>
                <w:szCs w:val="20"/>
                <w:color w:val="auto"/>
              </w:rPr>
            </w:pPr>
            <w:r>
              <w:rPr>
                <w:rFonts w:ascii="Arial" w:cs="Arial" w:eastAsia="Arial" w:hAnsi="Arial"/>
                <w:sz w:val="18"/>
                <w:szCs w:val="18"/>
                <w:color w:val="auto"/>
                <w:w w:val="98"/>
              </w:rPr>
              <w:t>December 31, 2022 that would require interim</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impairment testing of goodwill.</w:t>
            </w: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December 31, 2022 and March 31, 2022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December 31, 2022</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8"/>
                <w:szCs w:val="18"/>
                <w:b w:val="1"/>
                <w:bCs w:val="1"/>
                <w:color w:val="auto"/>
                <w:w w:val="96"/>
              </w:rPr>
              <w:t>March 31, 2022</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16"/>
                <w:szCs w:val="16"/>
                <w:color w:val="auto"/>
              </w:rPr>
            </w:pPr>
          </w:p>
        </w:tc>
        <w:tc>
          <w:tcPr>
            <w:tcW w:w="12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6"/>
                <w:szCs w:val="16"/>
                <w:color w:val="auto"/>
              </w:rPr>
            </w:pPr>
          </w:p>
        </w:tc>
        <w:tc>
          <w:tcPr>
            <w:tcW w:w="8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6"/>
                <w:szCs w:val="16"/>
                <w:color w:val="auto"/>
              </w:rPr>
            </w:pPr>
          </w:p>
        </w:tc>
        <w:tc>
          <w:tcPr>
            <w:tcW w:w="1240" w:type="dxa"/>
            <w:vAlign w:val="bottom"/>
            <w:gridSpan w:val="3"/>
          </w:tcPr>
          <w:p>
            <w:pPr>
              <w:jc w:val="right"/>
              <w:ind w:right="141"/>
              <w:spacing w:after="0" w:line="191" w:lineRule="exact"/>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141"/>
              <w:spacing w:after="0"/>
              <w:rPr>
                <w:sz w:val="20"/>
                <w:szCs w:val="20"/>
                <w:color w:val="auto"/>
              </w:rPr>
            </w:pPr>
            <w:r>
              <w:rPr>
                <w:rFonts w:ascii="Arial" w:cs="Arial" w:eastAsia="Arial" w:hAnsi="Arial"/>
                <w:sz w:val="18"/>
                <w:szCs w:val="18"/>
                <w:b w:val="1"/>
                <w:bCs w:val="1"/>
                <w:color w:val="auto"/>
                <w:w w:val="90"/>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3,610</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3,610</w:t>
            </w:r>
          </w:p>
        </w:tc>
        <w:tc>
          <w:tcPr>
            <w:tcW w:w="4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(3,610)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Backlog</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681</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(675)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440" w:type="dxa"/>
            <w:vAlign w:val="bottom"/>
            <w:gridSpan w:val="2"/>
          </w:tcPr>
          <w:p>
            <w:pPr>
              <w:jc w:val="right"/>
              <w:ind w:right="116"/>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(631)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Trade name and trademarks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9,600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(4,413)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5,187</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9,600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(2,723)</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6,877</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Core technology and know-how</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(3,748)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(3,386)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2,584</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9,215</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firstLine="648"/>
        <w:spacing w:after="0" w:line="275" w:lineRule="auto"/>
        <w:rPr>
          <w:sz w:val="20"/>
          <w:szCs w:val="20"/>
          <w:color w:val="auto"/>
        </w:rPr>
      </w:pPr>
      <w:r>
        <w:rPr>
          <w:rFonts w:ascii="Arial" w:cs="Arial" w:eastAsia="Arial" w:hAnsi="Arial"/>
          <w:sz w:val="17"/>
          <w:szCs w:val="17"/>
          <w:color w:val="auto"/>
        </w:rPr>
        <w:t>The Company recorded intangible amortization expense related to customer relationship and core technology and know-how of $0.7 million and $2.1 million, in the three and nine months ended December 31, 2022, respectively, and $0.6 million and $1.8 million in the three and nine months ended December 31, 2021, respectively. Additionally, the Company recorded intangible amortization related to backlog that is reported in cost of revenues of less than $0.1 million in each of the three and nine months ended December 31, 2022. The Company recorded intangible amortization related to backlog that is reported in cost of revenues of $0.1 million in each of the three and nine months ended December 31, 2021,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Expected future amortization expense related to intangible assets is as follows (in thousands):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40" w:type="dxa"/>
            <w:vAlign w:val="bottom"/>
          </w:tcPr>
          <w:p>
            <w:pPr>
              <w:spacing w:after="0"/>
              <w:rPr>
                <w:sz w:val="20"/>
                <w:szCs w:val="20"/>
                <w:color w:val="auto"/>
              </w:rPr>
            </w:pPr>
            <w:r>
              <w:rPr>
                <w:rFonts w:ascii="Arial" w:cs="Arial" w:eastAsia="Arial" w:hAnsi="Arial"/>
                <w:sz w:val="18"/>
                <w:szCs w:val="18"/>
                <w:b w:val="1"/>
                <w:bCs w:val="1"/>
                <w:color w:val="auto"/>
              </w:rPr>
              <w:t>Years ended March 31,</w:t>
            </w:r>
          </w:p>
        </w:tc>
        <w:tc>
          <w:tcPr>
            <w:tcW w:w="1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2024</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2,158</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2026</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Thereafter</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r>
      <w:tr>
        <w:trPr>
          <w:trHeight w:val="249"/>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relate entirely to the Grid business segment operations in the United States.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Inputs are unadjusted quoted prices in active markets for identical assets or liabilities that the Company has the ability to access 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the measurement date.</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7"/>
              </w:rPr>
              <w:t>Inputs include quoted prices for similar assets and liabilities in active markets, quoted prices for identical or similar assets or</w:t>
            </w: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liabilities in markets that are not active, inputs other than quoted prices that are observable for the asset or liability, and inputs that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are derived principally from or corroborated by observable market data by correlation or other means (market corroborated inputs).</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Unobservable inputs that reflect the Company’s assumptions that market participants would use in pricing the asset or liability. The</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Company develops these inputs based on the best information available, including its own data.</w:t>
            </w:r>
          </w:p>
        </w:tc>
      </w:tr>
    </w:tbl>
    <w:p>
      <w:pPr>
        <w:sectPr>
          <w:pgSz w:w="11900" w:h="16838" w:orient="portrait"/>
          <w:cols w:equalWidth="0" w:num="1">
            <w:col w:w="11320"/>
          </w:cols>
          <w:pgMar w:left="320" w:top="850" w:right="259" w:bottom="55" w:gutter="0" w:footer="0" w:header="0"/>
        </w:sectPr>
      </w:pPr>
    </w:p>
    <w:bookmarkStart w:id="17" w:name="page18"/>
    <w:bookmarkEnd w:id="17"/>
    <w:p>
      <w:pPr>
        <w:jc w:val="both"/>
        <w:ind w:firstLine="648"/>
        <w:spacing w:after="0" w:line="257" w:lineRule="auto"/>
        <w:rPr>
          <w:sz w:val="20"/>
          <w:szCs w:val="20"/>
          <w:color w:val="auto"/>
        </w:rPr>
      </w:pPr>
      <w:r>
        <w:rPr>
          <w:rFonts w:ascii="Arial" w:cs="Arial" w:eastAsia="Arial" w:hAnsi="Arial"/>
          <w:sz w:val="18"/>
          <w:szCs w:val="18"/>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 total cash and investments. The Company did not have any transfers of assets and liabilities from Level 1, Level 2 or Level 3 of the fair value measurement hierarchy during the nine months ended December 31, 2022.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both"/>
        <w:ind w:right="20" w:firstLine="648"/>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are measured using such inputs as quoted prices and are classified within Level 1 of the valuation hierarchy. Cash equivalents consist principally of certificates of deposits and money market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Contingent consideration relates to the earnout payment set forth in the NEPSI Stock Purchase Agreement that provides that the selling stockholders may receive up to an additional 1,000,000 shares of common stock of the Company upon the achievement of certain specified revenue objectives over varying periods of up to four years following the NEPSI Acquisition Date. See Note 13, "Contingent Consideration" and Note 2, “Acquisitions” for further discussion. The Company relied on a Monte Carlo method to determine the fair value of the contingent consideration on the NEPSI Acquisition Date and will continue to revalue the fair value of the contingent consideration using the same method at each subsequent balance sheet date until the contingencies are resolved and the shares to be issued are determined, with the change in fair value recorded in the current period operating loss.</w:t>
      </w:r>
    </w:p>
    <w:p>
      <w:pPr>
        <w:spacing w:after="0" w:line="1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on a recurring basis, measured as of December 31, 2022 and March 31,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Quoted Prices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1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r>
      <w:tr>
        <w:trPr>
          <w:trHeight w:val="414"/>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Quoted Prices</w:t>
            </w: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March 31, 2022:</w:t>
            </w:r>
          </w:p>
        </w:tc>
        <w:tc>
          <w:tcPr>
            <w:tcW w:w="1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432"/>
        </w:trPr>
        <w:tc>
          <w:tcPr>
            <w:tcW w:w="3840" w:type="dxa"/>
            <w:vAlign w:val="bottom"/>
          </w:tcPr>
          <w:p>
            <w:pPr>
              <w:spacing w:after="0"/>
              <w:rPr>
                <w:sz w:val="24"/>
                <w:szCs w:val="24"/>
                <w:color w:val="auto"/>
              </w:rPr>
            </w:pPr>
          </w:p>
        </w:tc>
        <w:tc>
          <w:tcPr>
            <w:tcW w:w="1980" w:type="dxa"/>
            <w:vAlign w:val="bottom"/>
            <w:gridSpan w:val="2"/>
          </w:tcPr>
          <w:p>
            <w:pPr>
              <w:ind w:left="1700"/>
              <w:spacing w:after="0"/>
              <w:rPr>
                <w:sz w:val="20"/>
                <w:szCs w:val="20"/>
                <w:color w:val="auto"/>
              </w:rPr>
            </w:pPr>
            <w:r>
              <w:rPr>
                <w:rFonts w:ascii="Arial" w:cs="Arial" w:eastAsia="Arial" w:hAnsi="Arial"/>
                <w:sz w:val="18"/>
                <w:szCs w:val="18"/>
                <w:color w:val="auto"/>
              </w:rPr>
              <w:t>16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9" w:name="page20"/>
    <w:bookmarkEnd w:id="19"/>
    <w:p>
      <w:pPr>
        <w:ind w:left="640"/>
        <w:spacing w:after="0"/>
        <w:rPr>
          <w:sz w:val="20"/>
          <w:szCs w:val="20"/>
          <w:color w:val="auto"/>
        </w:rPr>
      </w:pPr>
      <w:r>
        <w:rPr>
          <w:rFonts w:ascii="Arial" w:cs="Arial" w:eastAsia="Arial" w:hAnsi="Arial"/>
          <w:sz w:val="18"/>
          <w:szCs w:val="18"/>
          <w:color w:val="auto"/>
        </w:rPr>
        <w:t>The table below reflects the activity for the Company’s derivative liability measured at fair value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Acquisition</w:t>
            </w:r>
          </w:p>
        </w:tc>
      </w:tr>
      <w:tr>
        <w:trPr>
          <w:trHeight w:val="216"/>
        </w:trPr>
        <w:tc>
          <w:tcPr>
            <w:tcW w:w="23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Contingent</w:t>
            </w:r>
          </w:p>
        </w:tc>
      </w:tr>
      <w:tr>
        <w:trPr>
          <w:trHeight w:val="234"/>
        </w:trPr>
        <w:tc>
          <w:tcPr>
            <w:tcW w:w="23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Consideration</w:t>
            </w:r>
          </w:p>
        </w:tc>
        <w:tc>
          <w:tcPr>
            <w:tcW w:w="100" w:type="dxa"/>
            <w:vAlign w:val="bottom"/>
          </w:tcPr>
          <w:p>
            <w:pPr>
              <w:spacing w:after="0"/>
              <w:rPr>
                <w:sz w:val="20"/>
                <w:szCs w:val="20"/>
                <w:color w:val="auto"/>
              </w:rPr>
            </w:pPr>
          </w:p>
        </w:tc>
      </w:tr>
      <w:tr>
        <w:trPr>
          <w:trHeight w:val="209"/>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5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7,050</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Change in fair value</w:t>
            </w: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(5,850)</w:t>
            </w: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5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Change in fair value</w:t>
            </w: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r>
      <w:tr>
        <w:trPr>
          <w:trHeight w:val="249"/>
        </w:trPr>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Balance at December 31, 2022</w:t>
            </w:r>
          </w:p>
        </w:tc>
        <w:tc>
          <w:tcPr>
            <w:tcW w:w="56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656"/>
        </w:trPr>
        <w:tc>
          <w:tcPr>
            <w:tcW w:w="2340" w:type="dxa"/>
            <w:vAlign w:val="bottom"/>
          </w:tcPr>
          <w:p>
            <w:pPr>
              <w:spacing w:after="0"/>
              <w:rPr>
                <w:sz w:val="20"/>
                <w:szCs w:val="20"/>
                <w:color w:val="auto"/>
              </w:rPr>
            </w:pPr>
            <w:r>
              <w:rPr>
                <w:rFonts w:ascii="Arial" w:cs="Arial" w:eastAsia="Arial" w:hAnsi="Arial"/>
                <w:sz w:val="18"/>
                <w:szCs w:val="18"/>
                <w:b w:val="1"/>
                <w:bCs w:val="1"/>
                <w:color w:val="auto"/>
              </w:rPr>
              <w:t>8. Accounts Receivable</w:t>
            </w: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340" w:type="dxa"/>
            <w:vAlign w:val="bottom"/>
          </w:tcPr>
          <w:p>
            <w:pPr>
              <w:ind w:left="660"/>
              <w:spacing w:after="0"/>
              <w:rPr>
                <w:sz w:val="20"/>
                <w:szCs w:val="20"/>
                <w:color w:val="auto"/>
              </w:rPr>
            </w:pPr>
            <w:r>
              <w:rPr>
                <w:rFonts w:ascii="Arial" w:cs="Arial" w:eastAsia="Arial" w:hAnsi="Arial"/>
                <w:sz w:val="18"/>
                <w:szCs w:val="18"/>
                <w:color w:val="auto"/>
                <w:w w:val="91"/>
              </w:rPr>
              <w:t>Accounts receivable at</w:t>
            </w:r>
          </w:p>
        </w:tc>
        <w:tc>
          <w:tcPr>
            <w:tcW w:w="7240" w:type="dxa"/>
            <w:vAlign w:val="bottom"/>
            <w:gridSpan w:val="4"/>
          </w:tcPr>
          <w:p>
            <w:pPr>
              <w:ind w:left="40"/>
              <w:spacing w:after="0"/>
              <w:rPr>
                <w:sz w:val="20"/>
                <w:szCs w:val="20"/>
                <w:color w:val="auto"/>
              </w:rPr>
            </w:pPr>
            <w:r>
              <w:rPr>
                <w:rFonts w:ascii="Arial" w:cs="Arial" w:eastAsia="Arial" w:hAnsi="Arial"/>
                <w:sz w:val="18"/>
                <w:szCs w:val="18"/>
                <w:color w:val="auto"/>
              </w:rPr>
              <w:t>December 31, 2022 and March 31, 2022 consisted of the following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3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0"/>
                <w:szCs w:val="20"/>
                <w:color w:val="auto"/>
              </w:rPr>
            </w:pPr>
          </w:p>
        </w:tc>
      </w:tr>
      <w:tr>
        <w:trPr>
          <w:trHeight w:val="209"/>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13,788</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w w:val="96"/>
              </w:rPr>
              <w:t>Accounts receivable (unbilled)</w:t>
            </w: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6,492</w:t>
            </w:r>
          </w:p>
        </w:tc>
      </w:tr>
      <w:tr>
        <w:trPr>
          <w:trHeight w:val="250"/>
        </w:trPr>
        <w:tc>
          <w:tcPr>
            <w:tcW w:w="2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56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net of reserves, at December 31, 2022 and March 31, 2022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Raw materials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18,122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11,020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Work-in-process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10,462</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1,326</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program costs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Net inventory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38,725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23,666</w:t>
            </w:r>
          </w:p>
        </w:tc>
      </w:tr>
      <w:tr>
        <w:trPr>
          <w:trHeight w:val="20"/>
        </w:trPr>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recorded inventory write-downs of $0.2 million and $0.4 million for the three months ended December 31, 2022 and 2021, respectively. The Company recorded inventory write-downs of $1.2 million and $1.6 million for the nine months ended December 31, 2022 and 2021, respectively. These write-downs were based on the Company's evaluation of its inventory on hand for excess quantities and obsolescence.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program costs as of December 31, 2022 and March 31, 2022, primarily represent costs incurred on programs where the Company needs to complete performance obligations before the related revenue and costs will be recognized.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and accumulated depreciation of property, plant and equipment at December 31, 2022 and March 31, 2022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Equipment and software</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43,938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43,668</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 right of use asset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6,634</w:t>
            </w: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58,512</w:t>
            </w: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(46,750)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(44,856)</w:t>
            </w: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13,656</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expense was $0.6 million and $0.7 million for the three months ended December 31, 2022 and 2021, respectively. Depreciation expense was $2.0 million for each of the nine months ended December 31, 2022 and 2021,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Accounts Payable and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at December 31, 2022 and March 31, 2022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000" w:type="dxa"/>
            <w:vAlign w:val="bottom"/>
          </w:tcPr>
          <w:p>
            <w:pPr>
              <w:spacing w:after="0"/>
              <w:rPr>
                <w:sz w:val="22"/>
                <w:szCs w:val="22"/>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2022</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2"/>
                <w:szCs w:val="2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inventories in-transit</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2,212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other miscellaneous expenses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Advanced deposits</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3,021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r>
      <w:tr>
        <w:trPr>
          <w:trHeight w:val="237"/>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product warranty</w:t>
            </w:r>
          </w:p>
        </w:tc>
        <w:tc>
          <w:tcPr>
            <w:tcW w:w="5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32,060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29,140</w:t>
            </w:r>
          </w:p>
        </w:tc>
      </w:tr>
      <w:tr>
        <w:trPr>
          <w:trHeight w:val="20"/>
        </w:trPr>
        <w:tc>
          <w:tcPr>
            <w:tcW w:w="8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660"/>
              <w:spacing w:after="0"/>
              <w:rPr>
                <w:sz w:val="20"/>
                <w:szCs w:val="20"/>
                <w:color w:val="auto"/>
              </w:rPr>
            </w:pPr>
            <w:r>
              <w:rPr>
                <w:rFonts w:ascii="Arial" w:cs="Arial" w:eastAsia="Arial" w:hAnsi="Arial"/>
                <w:sz w:val="18"/>
                <w:szCs w:val="18"/>
                <w:color w:val="auto"/>
              </w:rPr>
              <w:t>Product warranty activity was as follows (in thousands):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Acquired warranty obligations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Change in accruals for warranties during the period</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Settlements during the period</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(1,261)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r>
      <w:tr>
        <w:trPr>
          <w:trHeight w:val="25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recorded an income tax expense of $0.1 million in each of the three and nine months ended December 31, 2022. The Company recorded an income tax expense of less than $0.1 million and income tax benefit of $1.9 million in the three and nine months ended December 31, 2021, respectively.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a difference in book and tax basis related to the intangible assets acquired in the Neeltran Acquisition (see Note 2, "Acquisitions"), the Company recorded a deferred tax liability of $2.3 million during the nine months ended December 31, 2021. As a result, the Company was able to benefit from additional deferred tax assets and therefore released a corresponding valuation allowance of $2.3 million during the nine months ended December 31, 2021. Goodwill recognized in the Neeltran Acquisition is not deductible for tax purposes.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1" w:name="page22"/>
    <w:bookmarkEnd w:id="21"/>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Accounting for income taxes requires a two-step approach to recognizing and measuring uncertain tax positions. The first step is to evaluate the tax position for recognition by determining if, based on the technical merits, it is more likely than not the position will be sustained upon audit, including resolution of related appeals or litigation processes, if any. The second step is to measure the tax benefit as the largest amount that is more than 50% likely to be realized upon ultimate settlement. The Company re-evaluates these uncertain tax positions on a quarterly basis. The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nine months ended December 31, 2022 and did not have any gross unrecognized tax benefits as of December 31, 2022.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Contingent Consideration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evaluated the NEPSI Acquisition earnout payment set forth in the NEPSI Stock Purchase Agreement (see Note 2, "Acquisitions" for further details), which may require settlement in the Company's common stock, and determined the contingent consideration qualified for liability classification and derivative treatment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a result, for each period, the fair value of the contingent consideration will be remeasured and the resulting gain or loss will be recognized in operating expenses until the share amount is fixed.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Following is a summary of the key assumptions used in a Monte Carlo simulation to calculate the fair value of the contingent consideration related to the NEPSI Acquisition: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December</w:t>
            </w:r>
          </w:p>
        </w:tc>
        <w:tc>
          <w:tcPr>
            <w:tcW w:w="1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September</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2"/>
          </w:tcPr>
          <w:p>
            <w:pPr>
              <w:jc w:val="center"/>
              <w:ind w:right="30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Fiscal Year 2022</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920" w:type="dxa"/>
            <w:vAlign w:val="bottom"/>
            <w:tcBorders>
              <w:bottom w:val="single" w:sz="8" w:color="CCEEFF"/>
            </w:tcBorders>
          </w:tcPr>
          <w:p>
            <w:pPr>
              <w:spacing w:after="0"/>
              <w:rPr>
                <w:sz w:val="20"/>
                <w:szCs w:val="20"/>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2760"/>
              <w:spacing w:after="0"/>
              <w:rPr>
                <w:sz w:val="20"/>
                <w:szCs w:val="20"/>
                <w:color w:val="auto"/>
              </w:rPr>
            </w:pPr>
            <w:r>
              <w:rPr>
                <w:rFonts w:ascii="Arial" w:cs="Arial" w:eastAsia="Arial" w:hAnsi="Arial"/>
                <w:sz w:val="18"/>
                <w:szCs w:val="18"/>
                <w:color w:val="auto"/>
              </w:rPr>
              <w:t>6.60%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 volatility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3840" w:type="dxa"/>
            <w:vAlign w:val="bottom"/>
            <w:gridSpan w:val="2"/>
          </w:tcPr>
          <w:p>
            <w:pPr>
              <w:jc w:val="right"/>
              <w:ind w:right="2760"/>
              <w:spacing w:after="0"/>
              <w:rPr>
                <w:sz w:val="20"/>
                <w:szCs w:val="20"/>
                <w:color w:val="auto"/>
              </w:rPr>
            </w:pPr>
            <w:r>
              <w:rPr>
                <w:rFonts w:ascii="Arial" w:cs="Arial" w:eastAsia="Arial" w:hAnsi="Arial"/>
                <w:sz w:val="18"/>
                <w:szCs w:val="18"/>
                <w:color w:val="auto"/>
              </w:rPr>
              <w:t>30%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840" w:type="dxa"/>
            <w:vAlign w:val="bottom"/>
            <w:gridSpan w:val="2"/>
            <w:shd w:val="clear" w:color="auto" w:fill="CCEEFF"/>
          </w:tcPr>
          <w:p>
            <w:pPr>
              <w:jc w:val="right"/>
              <w:ind w:right="2920"/>
              <w:spacing w:after="0"/>
              <w:rPr>
                <w:sz w:val="20"/>
                <w:szCs w:val="20"/>
                <w:color w:val="auto"/>
              </w:rPr>
            </w:pPr>
            <w:r>
              <w:rPr>
                <w:rFonts w:ascii="Arial" w:cs="Arial" w:eastAsia="Arial" w:hAnsi="Arial"/>
                <w:sz w:val="18"/>
                <w:szCs w:val="18"/>
                <w:color w:val="auto"/>
              </w:rPr>
              <w:t>5.18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Payment delay (days)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3840" w:type="dxa"/>
            <w:vAlign w:val="bottom"/>
            <w:gridSpan w:val="2"/>
          </w:tcPr>
          <w:p>
            <w:pPr>
              <w:jc w:val="right"/>
              <w:ind w:right="2920"/>
              <w:spacing w:after="0"/>
              <w:rPr>
                <w:sz w:val="20"/>
                <w:szCs w:val="20"/>
                <w:color w:val="auto"/>
              </w:rPr>
            </w:pPr>
            <w:r>
              <w:rPr>
                <w:rFonts w:ascii="Arial" w:cs="Arial" w:eastAsia="Arial" w:hAnsi="Arial"/>
                <w:sz w:val="18"/>
                <w:szCs w:val="18"/>
                <w:color w:val="auto"/>
              </w:rPr>
              <w:t>80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Fair value (millions)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840" w:type="dxa"/>
            <w:vAlign w:val="bottom"/>
            <w:gridSpan w:val="2"/>
            <w:shd w:val="clear" w:color="auto" w:fill="CCEEFF"/>
          </w:tcPr>
          <w:p>
            <w:pPr>
              <w:jc w:val="right"/>
              <w:ind w:right="2920"/>
              <w:spacing w:after="0"/>
              <w:rPr>
                <w:sz w:val="20"/>
                <w:szCs w:val="20"/>
                <w:color w:val="auto"/>
              </w:rPr>
            </w:pPr>
            <w:r>
              <w:rPr>
                <w:rFonts w:ascii="Arial" w:cs="Arial" w:eastAsia="Arial" w:hAnsi="Arial"/>
                <w:sz w:val="18"/>
                <w:szCs w:val="18"/>
                <w:color w:val="auto"/>
              </w:rPr>
              <w:t>1.4</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38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September 30,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Fiscal Year 2021</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 volatility</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Payment delay (days)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Fair value (millions)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recorded a net gain of $0.2 million and $0.3 million resulting from the decrease in the fair value of the contingent consideration in the three and nine months ended December 31, 2022. The Company recorded a net gain of $2.1 million and $4.4 million resulting from the decrease in the fair value of the contingent consideration in the three and nine months ended December 31, 2021,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229"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As part of the Neeltran Acquisition, the Company identified four equipment financing agreements that Neeltran had entered into prior to the acquisition on May 6, 2021. The Company determined to account for these agreements as a debt transaction and recorded current and long-term debt liabilities of $0.1 million each during the three months ended June 30, 2021. The current and long-term debt balance is $0.1 million and less than $0.1 million as of December 31, 2022,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has both the right to obtain substantially all of the economic benefits from the use of the asset and the right to direct the use of the asset.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third party. The Company elected to apply the discount rate using the remaining lease term at the date of adoption for Neeltran lease contracts.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Following the Neeltran Acquisition, the Company evaluated all open Neeltran contracts at the date of the acquisition to determine if any applied under ASC 842 as Neeltran, a private company, had deferred adopting ASC 842 prior to the Neeltran Acquisition, as permitted. The Company identified nine lease contracts with terms greater than twelve months and evaluated them under ASC 842 guidance. As part of the implementation, the Company identified one lease contract that classified as a financing lease. The Company does not expect a material impact to the financial statements on an ongoing basis resulting from the adoption of the ASC 842 standard for the Neeltran business and Neeltran will follow the existing policies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w:t>
      </w:r>
    </w:p>
    <w:p>
      <w:pPr>
        <w:sectPr>
          <w:pgSz w:w="11900" w:h="16963" w:orient="portrait"/>
          <w:cols w:equalWidth="0" w:num="1">
            <w:col w:w="11240"/>
          </w:cols>
          <w:pgMar w:left="320" w:top="611" w:right="339" w:bottom="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fixed minimum rental payments and the payment of real estate taxes and insurance. Many of these real estate leases have one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balance sheet.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part of the adoption of ASC 842 at Neeltran, the Company identified one lease contract that is classified as a finance lease. In February 2020, Neeltran entered into a contract to lease a copy machine for an initial term of 39 months, or through May 2023. The Company concluded that the lease should be classified and accounted for as a finance lease as the total value of the lease payments are greater than fair value of the asset. Accordingly, on May 6, 2021, the Company recognized a finance lease right-of-use asset and a finance lease liability of $13.2 thousand on the Neeltran opening balance sheet. As of December 31, 2022, the right-of-use asset related to the finance lease was $2.6 thousand, net of accumulated amortization of $10.6 thousand, and is included in the property and equipment, net on the Company's consolidated balance sheet.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(1) accreted to reflect interest using the incremental borrowing rate if the rate implicit in the lease is not readily determinable, and (2) reduced to reflect lease payments made during the period. Amortization expense for finance lease right-of-use assets and interest accretion on finance lease liabilities are recorded to depreciation expense and interest expense, respectively in the Company's consolidated statement of operations.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at December 31, 2022, and March 31, 2022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March 31, 2022</w:t>
            </w: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Right-of-use assets - Financing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3,068</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3,502</w:t>
            </w:r>
          </w:p>
        </w:tc>
      </w:tr>
      <w:tr>
        <w:trPr>
          <w:trHeight w:val="20"/>
        </w:trPr>
        <w:tc>
          <w:tcPr>
            <w:tcW w:w="7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Total right-of-use assets</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3,071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3,510</w:t>
            </w:r>
          </w:p>
        </w:tc>
      </w:tr>
      <w:tr>
        <w:trPr>
          <w:trHeight w:val="216"/>
        </w:trPr>
        <w:tc>
          <w:tcPr>
            <w:tcW w:w="7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ST Financing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ST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819</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LT Financing</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LT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2,375</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2,900</w:t>
            </w:r>
          </w:p>
        </w:tc>
      </w:tr>
      <w:tr>
        <w:trPr>
          <w:trHeight w:val="20"/>
        </w:trPr>
        <w:tc>
          <w:tcPr>
            <w:tcW w:w="7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3,197</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3,648</w:t>
            </w:r>
          </w:p>
        </w:tc>
      </w:tr>
      <w:tr>
        <w:trPr>
          <w:trHeight w:val="20"/>
        </w:trPr>
        <w:tc>
          <w:tcPr>
            <w:tcW w:w="7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4.12</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4.93</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costs related to the Company's finance lease are not material. The costs related to the Company's operating leases for the three and nine months ended December 31, 2022 and 2021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Nine Months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40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lease costs - fixed</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 - variable</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Short-term lease costs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4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Nine Months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Leases:</w:t>
            </w:r>
          </w:p>
        </w:tc>
        <w:tc>
          <w:tcPr>
            <w:tcW w:w="408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 - fixed</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lease costs - variable</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4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Total lease costs</w:t>
            </w:r>
          </w:p>
        </w:tc>
        <w:tc>
          <w:tcPr>
            <w:tcW w:w="4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580" w:type="dxa"/>
            <w:vAlign w:val="bottom"/>
            <w:gridSpan w:val="5"/>
          </w:tcPr>
          <w:p>
            <w:pPr>
              <w:ind w:left="660"/>
              <w:spacing w:after="0"/>
              <w:rPr>
                <w:sz w:val="20"/>
                <w:szCs w:val="20"/>
                <w:color w:val="auto"/>
              </w:rPr>
            </w:pPr>
            <w:r>
              <w:rPr>
                <w:rFonts w:ascii="Arial" w:cs="Arial" w:eastAsia="Arial" w:hAnsi="Arial"/>
                <w:sz w:val="18"/>
                <w:szCs w:val="18"/>
                <w:color w:val="auto"/>
                <w:w w:val="93"/>
              </w:rPr>
              <w:t>The Company’s estimated minimum future lease obligations under the Company's leases are as follows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20" w:type="dxa"/>
            <w:vAlign w:val="bottom"/>
            <w:vMerge w:val="restart"/>
          </w:tcPr>
          <w:p>
            <w:pPr>
              <w:spacing w:after="0"/>
              <w:rPr>
                <w:sz w:val="20"/>
                <w:szCs w:val="20"/>
                <w:color w:val="auto"/>
              </w:rPr>
            </w:pPr>
            <w:r>
              <w:rPr>
                <w:rFonts w:ascii="Arial" w:cs="Arial" w:eastAsia="Arial" w:hAnsi="Arial"/>
                <w:sz w:val="18"/>
                <w:szCs w:val="18"/>
                <w:color w:val="auto"/>
              </w:rPr>
              <w:t>Year ended March 31,</w:t>
            </w: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Leases</w:t>
            </w:r>
          </w:p>
        </w:tc>
        <w:tc>
          <w:tcPr>
            <w:tcW w:w="0" w:type="dxa"/>
            <w:vAlign w:val="bottom"/>
          </w:tcPr>
          <w:p>
            <w:pPr>
              <w:spacing w:after="0"/>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2024</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2026</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Thereafter</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Less: interest</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9"/>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0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3920" w:type="dxa"/>
            <w:vAlign w:val="bottom"/>
          </w:tcPr>
          <w:p>
            <w:pPr>
              <w:spacing w:after="0"/>
              <w:rPr>
                <w:sz w:val="24"/>
                <w:szCs w:val="24"/>
                <w:color w:val="auto"/>
              </w:rPr>
            </w:pPr>
          </w:p>
        </w:tc>
        <w:tc>
          <w:tcPr>
            <w:tcW w:w="4080" w:type="dxa"/>
            <w:vAlign w:val="bottom"/>
          </w:tcPr>
          <w:p>
            <w:pPr>
              <w:jc w:val="right"/>
              <w:ind w:right="219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2022, the Company had $1.0 million of restricted cash included in long-term assets and $6.6 million of restricted cash included in current assets. As of March 31, 2022, the Company had $6.1 million of restricted cash included in long term assets and $2.8 million of restricted cash included in current assets. These amounts included in restricted cash primarily represent deposits to secure letters of credit for various supply contracts and long-term projects, including the irrevocable letter of credit in the amount of $5.0 million to secure certain of the Company's obligations under a subcontract agreement with ComEd. These deposits are held in interest bearing accounts.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reports its financial results in two reportable business segments: Grid and Wind.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power grid offerings, the Grid business segment enables electric utilities, industrial facilities, and renewable energy project developers to connect, transmit and distribute power with exceptional efficiency, reliability, security and affordability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wind power offerings, the Wind business segment enables manufacturers to field wind turbines with exceptional power output, reliability and affordability. The Company provides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drivetrains and power ratings of 2 megawatts ("MWs") and higher. The Company provides a broad range of power electronics and software-based control systems that are highly integrated and designed for optimized performance, efficiency, and grid compatibility.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7"/>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20,809</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25,050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66,337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73,169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6,957</w:t>
            </w: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23,881</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74,241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80,126</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39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Grid</w:t>
            </w:r>
          </w:p>
        </w:tc>
        <w:tc>
          <w:tcPr>
            <w:tcW w:w="230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(7,064)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(20,840)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(14,873)</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(2,236)</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Unallocated corporate expenses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(1,221)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r>
      <w:tr>
        <w:trPr>
          <w:trHeight w:val="249"/>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871"/>
        </w:trPr>
        <w:tc>
          <w:tcPr>
            <w:tcW w:w="3920" w:type="dxa"/>
            <w:vAlign w:val="bottom"/>
          </w:tcPr>
          <w:p>
            <w:pPr>
              <w:spacing w:after="0"/>
              <w:rPr>
                <w:sz w:val="24"/>
                <w:szCs w:val="24"/>
                <w:color w:val="auto"/>
              </w:rPr>
            </w:pP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798" w:gutter="0" w:footer="0" w:header="0"/>
        </w:sectPr>
      </w:pPr>
    </w:p>
    <w:bookmarkStart w:id="25" w:name="page26"/>
    <w:bookmarkEnd w:id="25"/>
    <w:p>
      <w:pPr>
        <w:jc w:val="both"/>
        <w:ind w:firstLine="648"/>
        <w:spacing w:after="0" w:line="254"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Unallocated corporate expenses consist of a gain on contingent consideration of $0.2 million and $0.3 million in the three and nine months ended December 31, 2022. Unallocated corporate expenses consist of a gain on contingent consideration of $2.1 million and $4.4 million in the three and nine months ended December 31, 2021. Additionally, unallocated corporate expenses consist of stock-based compensation expense of $1.4 million and $1.1 million in the three months ended December 31, 2022, and 2021, respectively and $3.5 million in each of the nine months ended December 31, 2022 and 2021,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 for the two business segments as of December 31, 2022, and March 31, 2022,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123,664</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114,053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Wind</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10,005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9,866</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31,403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49,968</w:t>
            </w: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165,072</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173,887</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 Accounting Pronouncements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amendments in ASU 2016-13 will provide more decision-useful information about the expected credit losses on financial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commitments to extend credit held by a reporting entity at each reporting date. Following the release of ASU 2019-10 in November 2019, the new effective date, as long as the Company remains a smaller reporting company, would be annual reporting periods beginning after December 15, 2022. The Company evaluated the impact of the adoption of ASU 2016-13, and does not expect it to have a material impact on its consolidated financial statements.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The amendments in ASU 2021-08 will improve the accounting for acquired revenue contracts with customers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Following the release of ASU 2021-08 in October 2021, the new effective date will be annual reporting periods beginning after December 15, 2022. The Company evaluated the impact of the adoption of ASU 2021-08, and does not expect it to have a material impact on its consolidated financial statements.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The amendments in ASU 2021-10 will improve financial reporting by requiring disclosures that increase the transparency of transactions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accounted for by applying a grant or contribution accounting model by analogy. Following the release of ASU 2021-10 in November 2021, the new effective date will be annual reporting periods beginning after December 15, 2021. As of April 1, 2022, the Company has adopted ASU 2021-10 and noted no material impact on its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performed an evaluation of subsequent events through the time of filing this Quarterly Report on Form 10-Q with the SEC and has determined that there are no such events to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6" w:name="page27"/>
    <w:bookmarkEnd w:id="26"/>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prospective results of operations or financial position, the benefits of our acquisition of Northeast Power Systems, Inc. ("NEPSI") and Neeltran, Inc. ("Neeltran"), changes in macroeconomic and market conditions, including increasing inflation and impacts from the COVID-19 pandemic, sourcing, production disruption, material delays and global supply chain disruptions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We may be required to issue performance bonds or provide letters of credit, which restricts our ability to access any cash used as collateral for the bonds or letters of credit;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The COVID-19 pandemic could adversely impact our business, financial condition and results of operations; Changes in U.S. government defense spending could negatively impact our financial position, results of operations, liquidity and overall business; We rely upon third-party suppliers for the components and subassemblies of many of our Grid and Wind products, making us vulnerable to supply shortages and price fluctuations, which could harm our business; Uncertainty surrounding our prospects and financial condition may have an adverse effect on our customer and supplier relationships; We have not manufactured our Amperium wire in commercial quantities, and a failure to manufacture our Amperium wire in commercial quantities at acceptable cost and quality levels would substantially limit our future revenue and profit potential; Our success is dependent upon attracting and retaining qualified personnel and our inability to do so could significantly damage our business and prospects; A significant portion of our Wind segment revenues are derived from a single customer. If this customer's business is negatively affected, it could adversely impact our business; Our success in addressing the wind energy market is dependent on the manufacturers that license our designs; Our business and operations would be adversely impacted in the event of a failure or security breach of our or any critical third parties information technology infrastructure and networks; Failure to comply with evolving data privacy and data protection laws and regulations or to otherwise protect personal data, may adversely impact our business and financial results;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may acquire additional complementary businesses or technologies, which may require us to incur substantial costs for which we may never realize the anticipated benefits; Our success depends upon the commercial adoption of the REG system, which is currently limited, and a widespread commercial market for our products may not develop; Adverse changes in domestic and global economic conditions could adversely affect our operating results; We have operations in, and depend on sales in, emerging markets, including India, and global conditions could negatively affect our operating results or limit our ability to expand our operations outside of these markets. Changes in India</w:t>
      </w:r>
      <w:r>
        <w:rPr>
          <w:rFonts w:ascii="Arial" w:cs="Arial" w:eastAsia="Arial" w:hAnsi="Arial"/>
          <w:sz w:val="16"/>
          <w:szCs w:val="16"/>
          <w:color w:val="auto"/>
        </w:rPr>
        <w:t>’</w:t>
      </w:r>
      <w:r>
        <w:rPr>
          <w:rFonts w:ascii="Arial" w:cs="Arial" w:eastAsia="Arial" w:hAnsi="Arial"/>
          <w:sz w:val="16"/>
          <w:szCs w:val="16"/>
          <w:i w:val="1"/>
          <w:iCs w:val="1"/>
          <w:color w:val="auto"/>
        </w:rPr>
        <w:t>s political, social, regulatory and economic environment may affect our financial performance; Our products face competition, which could limit our ability to acquire or retain customers; Our international operations are subject to risks that we do not face in the United States, which could have an adverse effect on our operating results; Growth of the wind energy market depends largely on the availability and size of government subsidies, economic incentives and legislative programs designed to support the growth of wind energy; Lower prices for other fuel sources may reduce the demand for wind energy development, which could have a material adverse effect on our ability to grow our Wind business; The increasing focus on environmental sustainability and social initiatives could increase our costs, and inaction could harm our reputation and adversely impact our financial results; We may be unable to adequately prevent disclosure of trade secrets and other proprietary information; Our patents may not provide meaningful protection for our technology, which could result in us losing some or all of our market position;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Third parties have or may acquire patents that cover the materials, processes and technologies we use or may use in the future to manufacture our Amperium products, and our success depends on our ability to license such patents or other proprietary rights; Our technology and products could infringe intellectual property rights of others, which may require costly litigation and, if we are not successful, could cause us to pay substantial damages and disrupt our business; We face risks related to our legal proceedings; We face risks related to our common stock; and the other important factors discussed under the caption "Risk Factors" in Part 1. Item 1A of our Annual Report on Form 10-K for the fiscal year ended March 31, 2022,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American Superconductor®, Amperium®, AMSC®, D-VAR®, PowerModule™, D-VAR VVO</w:t>
      </w:r>
      <w:r>
        <w:rPr>
          <w:rFonts w:ascii="Arial" w:cs="Arial" w:eastAsia="Arial" w:hAnsi="Arial"/>
          <w:sz w:val="18"/>
          <w:szCs w:val="18"/>
          <w:i w:val="1"/>
          <w:iCs w:val="1"/>
          <w:color w:val="auto"/>
        </w:rPr>
        <w:t>®,</w:t>
      </w:r>
      <w:r>
        <w:rPr>
          <w:rFonts w:ascii="Arial" w:cs="Arial" w:eastAsia="Arial" w:hAnsi="Arial"/>
          <w:sz w:val="18"/>
          <w:szCs w:val="18"/>
          <w:color w:val="auto"/>
        </w:rPr>
        <w:t xml:space="preserve"> PQ-IVR®, SeaTitan®, Gridtec™ Solutions, Windtec™ Solutions, Smarter, Cleaner...Better Energy™, Orchestrate the Rhythm and Harmony of Power on the Grid™, actiVAR®, armorVAR™, NEPSI™ and Neeltran™ and SafetyLOCK™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sectPr>
          <w:pgSz w:w="11900" w:h="16873" w:orient="portrait"/>
          <w:cols w:equalWidth="0" w:num="1">
            <w:col w:w="11240"/>
          </w:cols>
          <w:pgMar w:left="320" w:top="634" w:right="339" w:bottom="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leading system provider of megawatt-scale resiliency solutions that orchestrate the rhythm and harmony of power on the grid™, and that protect and expand the capability of the U.S. Navy's fleet.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operate our business under two market-facing business units: Grid and Wind. We believe this market-centric structure enables us to more effectively anticipate and meet the needs of the U.S. Navy, electric utilities, industrial facilities, power generation project developers and wind turbine manufacturers.</w:t>
      </w:r>
    </w:p>
    <w:p>
      <w:pPr>
        <w:spacing w:after="0" w:line="184" w:lineRule="exact"/>
        <w:rPr>
          <w:sz w:val="20"/>
          <w:szCs w:val="20"/>
          <w:color w:val="auto"/>
        </w:rPr>
      </w:pPr>
    </w:p>
    <w:p>
      <w:pPr>
        <w:jc w:val="both"/>
        <w:ind w:left="800" w:hanging="239"/>
        <w:spacing w:after="0" w:line="255" w:lineRule="auto"/>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 our Grid business segment enables electric utilities, industrial facilities, and renewable energy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259" w:lineRule="exact"/>
        <w:rPr>
          <w:rFonts w:ascii="Arial" w:cs="Arial" w:eastAsia="Arial" w:hAnsi="Arial"/>
          <w:sz w:val="18"/>
          <w:szCs w:val="18"/>
          <w:color w:val="auto"/>
        </w:rPr>
      </w:pPr>
    </w:p>
    <w:p>
      <w:pPr>
        <w:jc w:val="both"/>
        <w:ind w:left="800" w:hanging="252"/>
        <w:spacing w:after="0" w:line="275"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Wind. </w:t>
      </w:r>
      <w:r>
        <w:rPr>
          <w:rFonts w:ascii="Arial" w:cs="Arial" w:eastAsia="Arial" w:hAnsi="Arial"/>
          <w:sz w:val="17"/>
          <w:szCs w:val="17"/>
          <w:color w:val="auto"/>
        </w:rPr>
        <w:t>Through our Windtec™ Solutions, our Wind business segment enables manufacturers to field wind turbines with exceptional power</w:t>
      </w:r>
      <w:r>
        <w:rPr>
          <w:rFonts w:ascii="Arial" w:cs="Arial" w:eastAsia="Arial" w:hAnsi="Arial"/>
          <w:sz w:val="17"/>
          <w:szCs w:val="17"/>
          <w:i w:val="1"/>
          <w:iCs w:val="1"/>
          <w:color w:val="auto"/>
        </w:rPr>
        <w:t xml:space="preserve"> </w:t>
      </w:r>
      <w:r>
        <w:rPr>
          <w:rFonts w:ascii="Arial" w:cs="Arial" w:eastAsia="Arial" w:hAnsi="Arial"/>
          <w:sz w:val="17"/>
          <w:szCs w:val="17"/>
          <w:color w:val="auto"/>
        </w:rPr>
        <w:t>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MW and higher. We provide a broad range of power electronics and software-based control systems that are highly integrated and designed for optimized performance, efficiency, and grid compatibility.</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that began on April 1 of that same year. For example, fiscal 2022 refers to the fiscal year that began on April 1, 2022. Other fiscal years follow similarly.</w:t>
      </w:r>
    </w:p>
    <w:p>
      <w:pPr>
        <w:spacing w:after="0" w:line="14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On October 31, 2018, we entered into a Subcontract Agreement with Commonwealth Edison Company (“ComEd”) (the “Subcontract Agreement”) for the manufacture and installation of the Company’s resilient electric grid ("REG") system within ComEd’s electric grid in Chicago, Illinois (the “Project”). As provided in the Subcontract Agreement, the Subcontract Agreement became effective upon the signing of an amendment by us and the U.S. Department of Homeland Security (“DHS”) to the existing contract (the “Prime Contract”) between us and DHS on June 20, 2019. Unless terminated earlier by us, ComEd or DHS according to the terms of the Subcontract Agreement, the term of the Subcontract Agreement will continue until we complete our warranty obligations under the Subcontract Agreement. Under the terms of the Subcontract Agreement, we agreed, among other things, to provide the REG system and to supervise ComEd’s installation of the REG system in Chicago. As part of our separate cost sharing arrangement with DHS under the Prime Contract, we received funding provided by DHS in connection with the Subcontract Agreement of approximately $10.0 million, which represents the total amount of revenue we recognized over the term of the Subcontract Agreement and includes $1.0 million that we have agreed to reimburse ComEd for costs incurred by ComEd while undertaking its tasks under the Subcontract Agreement (the “Reimbursement Amount”). In addition, we are required to deliver an irrevocable letter of credit in the amount of $5.0 million to secure certain Company obligations under the Subcontract Agreement, which we have done, and deposited $5.0 million in an escrow account as collateral to secure such letter of credit. We expect that this irrevocable letter of credit will be terminated and the full $5.0 million will be returned from escrow to us during the quarter ending March 31, 2023. ComEd has agreed to provide the site and provide all civil engineering work required to support the operation and integration of the REG system into ComEd’s electric grid. Other than the Reimbursement Amount, ComEd is responsible for its own costs and expenses. DHS’s approval to commence with construction was obtained on June 20, 2019. Substation work on the project began in late 2019 and we successfully integrated the REG system on Com Ed's electric power grid and the REG system became fully operational in August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jc w:val="both"/>
        <w:ind w:firstLine="648"/>
        <w:spacing w:after="0" w:line="257" w:lineRule="auto"/>
        <w:rPr>
          <w:sz w:val="20"/>
          <w:szCs w:val="20"/>
          <w:color w:val="auto"/>
        </w:rPr>
      </w:pPr>
      <w:r>
        <w:rPr>
          <w:rFonts w:ascii="Arial" w:cs="Arial" w:eastAsia="Arial" w:hAnsi="Arial"/>
          <w:sz w:val="18"/>
          <w:szCs w:val="18"/>
          <w:color w:val="auto"/>
        </w:rPr>
        <w:t>We are experiencing substantial inflationary pressure in our supply chain and some delays in sourcing materials needed for our products, resulting in some production disruption both of which have increased our cost of revenues and decreased gross margin. Changes in macroeconomic and market conditions arising from the COVID-19 pandemic, or for other reasons, such as the ongoing war between Russia and Ukraine, inflation, rising interest rates, labor force availability, sourcing, material delays and global supply chain disruptions could have a material adverse effect on our business, financial condition and results of operation.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time-to-time we may undertake restructuring activities in order to align our global organization in a manner that we believe will better position us to achieve our long-term goals. In January 2023, we undertook a reduction in force that involved approximately 5% of our global workforce. This restructuring is expected to incur an immaterial amount of cash expense and to result in annualized cost savings of approximately $5 million, beginning in fiscal year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critical accounting policies that were disclosed in our Annual Report on Form 10-K for the fiscal year ended March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December 31, 2022, compared to the three and nine months ended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revenues decreased 11% to $23.9 million for the three months ended December 31, 2022 and total revenues decreased 7% to $74.2 million for the nine months ended December 31, 2022 compared to $26.8 million and $80.1 million for the three and nine months ended December 31, 2021, respectively. Our revenues are summarized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20,809</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25,050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66,337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73,169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23,881</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26,799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74,241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80,126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Grid business unit accounted for 87% and 89% of total revenues for the three and nine months ended December 31, 2022, respectively, compared to 93% and 91% for the three and nine months ended December 31, 2021, respectively. Our Grid business unit revenues decreased 17% to $20.8 million in the three months ended December 31, 2022, from $25.0 million in the three months ended December 31, 2021. Our Grid business unit revenues decreased 9% to $66.3 million in the nine months ended December 31, 2022, from $73.2 million in the nine months ended December 31, 2021. The decrease in the Grid business unit revenue in the three and nine months ended December 31, 2022, was primarily driven by lower D-VAR revenues than in the prior year periods.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Wind business unit accounted for 13% and 11% of total revenues for the three and nine months ended December 31, 2022, respectively, compared to 7% and 9% for the three and nine months ended December 31, 2021, respectively. Revenues in the Wind business unit increased 76% and 14% to $3.1 million and $7.9 million in the three and nine months ended December 31, 2022, from $1.7 million and $7.0 million in the three and nine months ended December 31, 2021, respectively. The increase in the three and nine months ended December 31, 2022, was driven by additional shipments of electrical control systems ("ECS") to Inox in the three months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Cost of revenues increased by 1% to $23.4 million for the three months ended December 31, 2022, compared to $23.2 million for the three months ended December 31, 2021. Cost of revenues decreased by less than 1% to $69.5 million for the nine months ended December 31, 2022, compared to $69.9 million for the nine months ended December 31, 2021. Gross margin was 2% and 6% for the three and nine months ended December 31, 2022, respectively, compared to 13% for both the three and nine months ended December 31, 2021. The decrease in gross margin in the three and nine months ended December 31, 2022, was due to lower revenues, contract losses, an unfavorable product mix and inflation pressure in our supply chain.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("R&amp;D") expense decreased 22% in the three months ended December 31, 2022, to $2.1 million from $2.7 million in the three months ended December 31, 2021. R&amp;D expense decreased 15% in the nine months ended December 31, 2022, to $7.1 million from $8.4 million in the nine months ended December 31, 2021. The decrease in R&amp;D expense was due to lower overall compensation expense and an increase in utilization of our research engineers supporting funded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general and administrative ("SG&amp;A") expenses increased 6% in the three months ended December 31, 2022, to $7.2 million from $6.8 million in the three months ended December 31, 2021. The increase in SG&amp;A expense in the three months ended December 31, 2022, was due to higher stock compensation expense than in the prior year period. SG&amp;A expenses increased 7% to $22.1 million in the nine months ended December 31, 2022, compared to $20.6 million in the nine months ended December 31, 2021. The increase in SG&amp;A expense in the nine months ended December 31, 2022, was due to higher overall sales expense than in the prior 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amortization expense related to our core technology and know-how, customer relationships, and other intangible assets of $0.7 million and $2.1 million in the three and nine months ended December 31, 2022, respectively, and $0.6 million and $1.8 million in the three and nine months ended December 31, 2021, respectively. The increase in amortization expense is a result of additional expense tied to the acquisition of Neeltran.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change in fair value of our contingent consideration for the earnout payment on the NEPSI Acquisition resulted in a gain of $0.2 million and $0.3 million in the three and nine months ended December 31, 2022, respectively, compared to a gain of $2.1 million and $4.4 million in the three and nine months ended December 31, 2021, respectively. The change in the fair value was primarily driven by a decreased likelihood of achieving certain revenue targets and a decline in the Company's stock price.</w:t>
      </w:r>
    </w:p>
    <w:p>
      <w:pPr>
        <w:sectPr>
          <w:pgSz w:w="11900" w:h="16838" w:orient="portrait"/>
          <w:cols w:equalWidth="0" w:num="1">
            <w:col w:w="11240"/>
          </w:cols>
          <w:pgMar w:left="320" w:top="584"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Our operating loss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Unallocated corporate expenses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0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r>
      <w:tr>
        <w:trPr>
          <w:trHeight w:val="41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(7,064)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(20,840)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(14,873)</w:t>
            </w: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(924)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(1,678)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(2,178)</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(2,236)</w:t>
            </w:r>
          </w:p>
        </w:tc>
      </w:tr>
      <w:tr>
        <w:trPr>
          <w:trHeight w:val="230"/>
        </w:trPr>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(1,221)</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989</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(3,152)</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927</w:t>
            </w:r>
          </w:p>
        </w:tc>
      </w:tr>
      <w:tr>
        <w:trPr>
          <w:trHeight w:val="209"/>
        </w:trPr>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(9,209)</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(16,182)</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584" w:right="339" w:bottom="1440" w:gutter="0" w:footer="0" w:header="0"/>
          <w:type w:val="continuous"/>
        </w:sectPr>
      </w:pPr>
    </w:p>
    <w:p>
      <w:pPr>
        <w:spacing w:after="0" w:line="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Grid business segment generated operating losses of $7.1 million and $20.9 million in the three and nine months ended December 31, 2022, compared to operating losses of $3.7 million and $14.9 million in the three and nine months ended December 31, 2021. The increase in the Grid business unit operating loss in the three months ended December 31, 2022, was due to lower gross margins due to an unfavorable product mix, and higher operating expenses. The increase in the Grid business unit operating loss in the nine months ended December 31, 2022 was due to lower revenues and gross margins.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Wind business segment generated operating losses of $0.9 million and $2.2 million in the three and nine months ended December 31, 2022, compared to operating losses of $1.7 million and $2.2 million in the three and nine months ended December 31, 2021, respectively. The decrease in the Wind business unit operating loss was due to higher revenues and gross margins.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Unallocated corporate expenses included a gain on contingent consideration of $0.2 million and $0.3 million in the three and nine months ended December 31, 2022. Unallocated corporate expenses consisted of a gain on contingent consideration of $2.1 million and $4.4 million in the three and nine months ended December 31, 2021, respectively. Additionally, unallocated corporate expenses primarily consisted of stock-based compensation expense of $1.4 million and $1.1 million in the three months ended December 31, 2022 and 2021, respectively, and $3.5 million in each of the nine months ended December 31, 2022 and 2021,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Interest income, net, was less than $0.1 million in the three months ended December 31, 2022 and 2021, respectively. Interest income, net, was $0.1 million in the nine months ended December 31, 2022 and less than $0.1 million in the nine months ended December 31, 2021.</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dissolution</w:t>
      </w:r>
    </w:p>
    <w:p>
      <w:pPr>
        <w:spacing w:after="0" w:line="225"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China dissolution was $1.9 million in the nine months ended December 31, 2022 compared to no activity in the three and nine months ended December 31, 2021 . The increase in China dissolution during the nine months ended December 31, 2022, was driven by the liquidation of our China entity, resulting in a foreign currency gain/loss from the cumulative translation release of $1.9 million in the nine months ended December 31, 2022 in which there was no similar transaction in the three and nine months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Other expense, net, was $0.3 million and less than $0.1 million in the three and nine months ended December 31, 2022, respectively, compared to other income, net, of less than $0.1 million in both the three and nine months ended December 31, 2021. The increase in other expense during the three and nine months ended December 31, 2022, was driven by the impacts of unfavorable fluctuations in foreign currencies during the respective periods.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Income tax expense was $0.1 million in each of the three and nine months ended December 31, 2022. Income tax expense was less than $0.1 million in the three months ended December 31, 2021 and income tax benefit was $1.9 million in the nine months ended December 31, 2021. The increase in income tax expense in the three months ended December 31, 2022 compared to the same period in fiscal 2021 was primarily due to lower withholding taxes from foreign jurisdictions in the three months ended December 31, 2022. The increase in income tax expense in the nine months ended December 31, 2022 compared to the same period in fiscal 2021 was a result of the release of the valuation allowance to offset the recording of the deferred tax liability from the Neeltran Acquisition in the nine months ended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loss was $9.6 million and $28.2 million in the three and nine months ended December 31, 2022, compared to $4.3 million and $14.2 million in the three and nine months ended December 31, 2021. The increase in net loss was driven primarily by the increased operating loss due to lower revenues and gross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 - Non-GAAP 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define non-GAAP net loss as net loss before China dissolution, stock-based compensation, amortization of acquisition-related intangibles, acquisition costs, change in fair value of contingent consideration, and other non-cash or unusual charges. We believe non-GAAP net loss assists management and investors in comparing our performance across reporting periods on a consistent basis by excluding these non-cash charges and other items that we do not believe are indicative of our core operating performance. In addition, we use non-GAAP net loss as a factor to evaluate the effectiveness of our business strategies. A reconciliation of GAAP to non-GAAP net loss is set forth in the table below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(14,161)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China dissolution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1,979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(2,110)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(4,440)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(12,428)</w:t>
            </w: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 per share - basic</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Weighted average shares outstanding - basic</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27,954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27,352</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27,794</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27,145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incurred non-GAAP net losses of $7.7 million and $21.0 million, or $0.27 and $0.76 per share, for the three and nine months ended December 31, 2022, compared to $4.6 million and $12.4 million, or $0.17 and $0.46 per share, for the three and nine months ended December 31, 2021. The increase in the non-GAAP net loss for the three and nine months ended December 31, 2022 was due to a higher operating loss driven by lower gross margin and higher operating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848"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experienced recurring operating losses and, as of December 31, 2022, had an accumulated deficit of $1,049 million.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cash requirements depend on numerous factors, including the successful completion of our product development activities, our ability to commercialize our REG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2021, we filed a shelf registration statement on Form S-3 that will expire in February 2024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2022, we had cash, cash equivalents and restricted cash of $31.4 million, compared to $49.5 million as of March 31, 2022, a decrease of $18.1 million. As of December 31, 2022, we had approximately $1.8 million of cash, cash equivalents, and restricted cash in foreign bank accounts. Our cash, cash equivalents, and restricted cash are summarized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49,486</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nine months ended December 31, 2022, net cash used in operating activities was $17.1 million, compared to $15.9 million for the nine months ended December 31, 2021. The increase in net cash used in operations was due primarily to an increase in inventory purchases offset by accounts receivable collections in the nine months ended December 31, 2022 as compared to December 31, 2021.</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nine months ended December 31, 2022, net cash used in investing activities was $1.2 million, compared to $7.1 million for the nine months ended December 31, 2021. The decrease in net cash used in investing activities was primarily due to the cash that was used to pay for the Neeltran Acquisition in the nine months ended December 31, 2021. There was no such transaction in the nine months ended December 31, 2022.</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nine months ended December 31, 2022 and 2021, respectively, net cash provided by financing activities remained consistent at less than $0.1 million.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2022, we had $1.0 million of restricted cash included in long-term assets and $6.6 million of restricted cash included in current assets. These amounts of restricted cash primarily represent deposits to secure letters of credit for various supply contracts and long-term projects, including the irrevocable letter of credit in the amount of $5.0 million to secure certain of our obligations under the Subcontract Agreement with ComEd. These deposits are held in interest bearing accounts.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December 31, 2022, while others are considered future commitments. We have various contractual arrangements, under which we have committed to purchase certain minimum quantities of goods or services on an annual basis. For information regarding our other contractual obligations, refer to Note 13, "Contingent Consideration," Note 14, "Debt," Note 15, "Leases" and Note 16, "Commitments and Contingencies" to our condensed consolidated financial statements included elsewhere in this Quarterly Report on Form 10-Q.</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Our liquidity is highly dependent on our ability to increase revenues, improve upon gross margins, control our operating costs, and raise additional capital, if necessary. There can be no assurance that we will be able to raise additional capital on favorable terms or at all, or execute on any other means of improving our liquidity as described above. Additionally, the impact of the COVID-19 pandemic and adverse macroeconomic conditions on the global financial markets may reduce our ability to raise additional capital, if necessary, which could negatively impact our liquidity.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involved in legal and administrative proceedings and claims of various types. See Part II, Item 1,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amendments in ASU 2016-13 will provide more decision-useful information about the expected credit losses on financial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commitments to extend credit held by a reporting entity at each reporting date. Following the release of ASU 2019-10 in November 2019, the new effective date, as long as we remain a smaller reporting company, would be annual reporting periods beginning after December 15, 2022. We have evaluated the impact of the adoption of ASU 2016-13, and do not expect it to have a material impact on our consolidated financial statements.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The amendments in ASU 2021-08 will improve the accounting for acquired revenue contracts with customers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Following the release of ASU 2021-08 in October 2021, the new effective date will be annual reporting periods beginning after December 15, 2022. We have evaluated the impact of the adoption of ASU 2021-08, and do not expect it to have a material impact on our consolidated financial statements.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The amendments in ASU 2021-10 improve financial reporting by requiring disclosures that increase the transparency of transactions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accounted for by applying a grant or contribution accounting model by analogy. Following the release of ASU 2021-10 in November 2021, the effective date was annual reporting periods beginning after December 15, 2021. As of April 1, 2022, we have adopted ASU 2021-10 and noted no material impact on our consolidated financial statements.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believe that, outside of those disclosed here, there are any other recently issued accounting pronouncements that will have a material impact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material changes to the risk factors described in Part I, Item 1A of our Annual Report on Form 10-K for the fiscal year ended March 31, 2022, filed with the SEC on June 1, 2022.</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stock repurchase activity during the three months ended December 31, 2022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the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Plans or</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Month</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r>
              <w:rPr>
                <w:rFonts w:ascii="Arial" w:cs="Arial" w:eastAsia="Arial" w:hAnsi="Arial"/>
                <w:sz w:val="14"/>
                <w:szCs w:val="14"/>
                <w:b w:val="1"/>
                <w:bCs w:val="1"/>
                <w:color w:val="auto"/>
                <w:w w:val="89"/>
              </w:rPr>
              <w:t>(a)</w:t>
            </w:r>
          </w:p>
        </w:tc>
        <w:tc>
          <w:tcPr>
            <w:tcW w:w="2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2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millions)</w:t>
            </w: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2022 - October 31, 2022</w:t>
            </w: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November 1, 2022 - November 30, 2022</w:t>
            </w:r>
          </w:p>
        </w:tc>
        <w:tc>
          <w:tcPr>
            <w:tcW w:w="120" w:type="dxa"/>
            <w:vAlign w:val="bottom"/>
          </w:tcPr>
          <w:p>
            <w:pPr>
              <w:spacing w:after="0"/>
              <w:rPr>
                <w:sz w:val="18"/>
                <w:szCs w:val="18"/>
                <w:color w:val="auto"/>
              </w:rPr>
            </w:pPr>
          </w:p>
        </w:tc>
        <w:tc>
          <w:tcPr>
            <w:tcW w:w="1360" w:type="dxa"/>
            <w:vAlign w:val="bottom"/>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1, 2022 - December 31, 2022</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3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 During the three months ended December 31, 2022, we did not repurchase shares in connection with our stock-based compensation plans.</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240" w:type="dxa"/>
            <w:vAlign w:val="bottom"/>
            <w:gridSpan w:val="14"/>
          </w:tcPr>
          <w:p>
            <w:pPr>
              <w:ind w:left="300"/>
              <w:spacing w:after="0"/>
              <w:rPr>
                <w:sz w:val="20"/>
                <w:szCs w:val="20"/>
                <w:color w:val="auto"/>
              </w:rPr>
            </w:pPr>
            <w:r>
              <w:rPr>
                <w:rFonts w:ascii="Arial" w:cs="Arial" w:eastAsia="Arial" w:hAnsi="Arial"/>
                <w:sz w:val="18"/>
                <w:szCs w:val="18"/>
                <w:b w:val="1"/>
                <w:bCs w:val="1"/>
                <w:color w:val="auto"/>
              </w:rPr>
              <w:t>EXHIBITS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20" w:type="dxa"/>
            <w:vAlign w:val="bottom"/>
            <w:gridSpan w:val="10"/>
          </w:tcPr>
          <w:p>
            <w:pPr>
              <w:ind w:left="1020"/>
              <w:spacing w:after="0"/>
              <w:rPr>
                <w:sz w:val="20"/>
                <w:szCs w:val="20"/>
                <w:color w:val="auto"/>
              </w:rPr>
            </w:pPr>
            <w:r>
              <w:rPr>
                <w:rFonts w:ascii="Arial" w:cs="Arial" w:eastAsia="Arial" w:hAnsi="Arial"/>
                <w:sz w:val="18"/>
                <w:szCs w:val="18"/>
                <w:b w:val="1"/>
                <w:bCs w:val="1"/>
                <w:color w:val="auto"/>
              </w:rPr>
              <w:t>EXHIBIT INDEX</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ind w:left="3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91"/>
        </w:trPr>
        <w:tc>
          <w:tcPr>
            <w:tcW w:w="1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1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Filed/Furnished</w:t>
            </w:r>
          </w:p>
        </w:tc>
        <w:tc>
          <w:tcPr>
            <w:tcW w:w="0" w:type="dxa"/>
            <w:vAlign w:val="bottom"/>
          </w:tcPr>
          <w:p>
            <w:pPr>
              <w:spacing w:after="0"/>
              <w:rPr>
                <w:sz w:val="1"/>
                <w:szCs w:val="1"/>
                <w:color w:val="auto"/>
              </w:rPr>
            </w:pPr>
          </w:p>
        </w:tc>
      </w:tr>
      <w:tr>
        <w:trPr>
          <w:trHeight w:val="234"/>
        </w:trPr>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11"/>
          </w:tcPr>
          <w:p>
            <w:pPr>
              <w:ind w:left="1740"/>
              <w:spacing w:after="0"/>
              <w:rPr>
                <w:sz w:val="20"/>
                <w:szCs w:val="20"/>
                <w:color w:val="auto"/>
              </w:rPr>
            </w:pPr>
            <w:r>
              <w:rPr>
                <w:rFonts w:ascii="Arial" w:cs="Arial" w:eastAsia="Arial" w:hAnsi="Arial"/>
                <w:sz w:val="18"/>
                <w:szCs w:val="18"/>
                <w:b w:val="1"/>
                <w:bCs w:val="1"/>
                <w:color w:val="auto"/>
              </w:rPr>
              <w:t>Exhibit Description</w:t>
            </w:r>
          </w:p>
        </w:tc>
        <w:tc>
          <w:tcPr>
            <w:tcW w:w="2200" w:type="dxa"/>
            <w:vAlign w:val="bottom"/>
            <w:gridSpan w:val="5"/>
          </w:tcPr>
          <w:p>
            <w:pPr>
              <w:ind w:left="120"/>
              <w:spacing w:after="0"/>
              <w:rPr>
                <w:sz w:val="20"/>
                <w:szCs w:val="20"/>
                <w:color w:val="auto"/>
              </w:rPr>
            </w:pPr>
            <w:r>
              <w:rPr>
                <w:rFonts w:ascii="Arial" w:cs="Arial" w:eastAsia="Arial" w:hAnsi="Arial"/>
                <w:sz w:val="18"/>
                <w:szCs w:val="18"/>
                <w:b w:val="1"/>
                <w:bCs w:val="1"/>
                <w:color w:val="auto"/>
              </w:rPr>
              <w:t>Form   File No.  Exhibit</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980" w:type="dxa"/>
            <w:vAlign w:val="bottom"/>
            <w:tcBorders>
              <w:top w:val="single" w:sz="8" w:color="auto"/>
              <w:bottom w:val="single" w:sz="8" w:color="0000EE"/>
            </w:tcBorders>
            <w:gridSpan w:val="9"/>
          </w:tcPr>
          <w:p>
            <w:pPr>
              <w:spacing w:after="0" w:line="169" w:lineRule="exact"/>
              <w:rPr>
                <w:sz w:val="20"/>
                <w:szCs w:val="20"/>
                <w:color w:val="auto"/>
              </w:rPr>
            </w:pPr>
            <w:r>
              <w:rPr>
                <w:rFonts w:ascii="Arial" w:cs="Arial" w:eastAsia="Arial" w:hAnsi="Arial"/>
                <w:sz w:val="18"/>
                <w:szCs w:val="18"/>
                <w:color w:val="0000EE"/>
                <w:w w:val="92"/>
              </w:rPr>
              <w:t>Chief Executive Officer—Certification pursuant to Rule 13a-14(a) or</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2"/>
          </w:tcPr>
          <w:p>
            <w:pPr>
              <w:spacing w:after="0" w:line="196" w:lineRule="exact"/>
              <w:rPr>
                <w:sz w:val="20"/>
                <w:szCs w:val="20"/>
                <w:color w:val="auto"/>
              </w:rPr>
            </w:pPr>
            <w:r>
              <w:rPr>
                <w:rFonts w:ascii="Arial" w:cs="Arial" w:eastAsia="Arial" w:hAnsi="Arial"/>
                <w:sz w:val="18"/>
                <w:szCs w:val="18"/>
                <w:color w:val="0000EE"/>
                <w:w w:val="95"/>
              </w:rPr>
              <w:t>Rule 15d-14(a) of the Securities Exchange Act of 1934, as adopted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pursuant to Section 302 of the Sarbanes-Oxley Act of 2002.</w:t>
            </w:r>
          </w:p>
        </w:tc>
        <w:tc>
          <w:tcPr>
            <w:tcW w:w="500" w:type="dxa"/>
            <w:vAlign w:val="bottom"/>
            <w:tcBorders>
              <w:top w:val="single" w:sz="8" w:color="0000EE"/>
            </w:tcBorders>
            <w:gridSpan w:val="3"/>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0000EE"/>
                <w:w w:val="96"/>
              </w:rPr>
              <w:t>Chief Financial Officer—Certification pursuant to Rule 13a-14(a) or</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Rule 15d-14(a) of the Securities Exchange Act of 1934, as adopted</w:t>
            </w:r>
          </w:p>
        </w:tc>
        <w:tc>
          <w:tcPr>
            <w:tcW w:w="1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pursuant to Section 302 of the Sarbanes-Oxley Act of 2002.</w:t>
            </w:r>
          </w:p>
        </w:tc>
        <w:tc>
          <w:tcPr>
            <w:tcW w:w="500" w:type="dxa"/>
            <w:vAlign w:val="bottom"/>
            <w:tcBorders>
              <w:top w:val="single" w:sz="8" w:color="0000EE"/>
            </w:tcBorders>
            <w:gridSpan w:val="3"/>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9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3"/>
              </w:rPr>
              <w:t>Chief Executive Officer—Certification pursuant to Rule13a-14(b) or</w:t>
            </w:r>
          </w:p>
        </w:tc>
        <w:tc>
          <w:tcPr>
            <w:tcW w:w="1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Rule 15d-14(b) of the Securities Exchange Act of 1934 and 18</w:t>
            </w:r>
          </w:p>
        </w:tc>
        <w:tc>
          <w:tcPr>
            <w:tcW w:w="6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2"/>
          </w:tcPr>
          <w:p>
            <w:pPr>
              <w:spacing w:after="0" w:line="196" w:lineRule="exact"/>
              <w:rPr>
                <w:sz w:val="20"/>
                <w:szCs w:val="20"/>
                <w:color w:val="auto"/>
              </w:rPr>
            </w:pPr>
            <w:r>
              <w:rPr>
                <w:rFonts w:ascii="Arial" w:cs="Arial" w:eastAsia="Arial" w:hAnsi="Arial"/>
                <w:sz w:val="18"/>
                <w:szCs w:val="18"/>
                <w:color w:val="0000EE"/>
              </w:rPr>
              <w:t>U.S.C. Section 1350, as adopted pursuant to Section 906 of the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Sarbanes-Oxley Act of 2002.</w:t>
            </w:r>
          </w:p>
        </w:tc>
        <w:tc>
          <w:tcPr>
            <w:tcW w:w="5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9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Chief Financial Officer—Certification pursuant to Rule 13a-14(b) or</w:t>
            </w:r>
          </w:p>
        </w:tc>
        <w:tc>
          <w:tcPr>
            <w:tcW w:w="1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Rule 15d-14(b) of the Securities Exchange Act of 1934 and 18</w:t>
            </w:r>
          </w:p>
        </w:tc>
        <w:tc>
          <w:tcPr>
            <w:tcW w:w="6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2"/>
          </w:tcPr>
          <w:p>
            <w:pPr>
              <w:spacing w:after="0" w:line="196" w:lineRule="exact"/>
              <w:rPr>
                <w:sz w:val="20"/>
                <w:szCs w:val="20"/>
                <w:color w:val="auto"/>
              </w:rPr>
            </w:pPr>
            <w:r>
              <w:rPr>
                <w:rFonts w:ascii="Arial" w:cs="Arial" w:eastAsia="Arial" w:hAnsi="Arial"/>
                <w:sz w:val="18"/>
                <w:szCs w:val="18"/>
                <w:color w:val="0000EE"/>
              </w:rPr>
              <w:t>U.S.C. Section 1350, as adopted pursuant to Section 906 of the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Sarbanes-Oxley Act of 2002.</w:t>
            </w:r>
          </w:p>
        </w:tc>
        <w:tc>
          <w:tcPr>
            <w:tcW w:w="5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w w:val="96"/>
              </w:rPr>
              <w:t>Inline XBRL Instance Document - the instance document does not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embedded within the Inline XBRL document.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Inline XBRL Taxonomy Calculation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Inline XBRL Definition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Inline XBRL Taxonomy Label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Inline XBRL Taxonomy Presentation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2"/>
          </w:tcPr>
          <w:p>
            <w:pPr>
              <w:spacing w:after="0"/>
              <w:rPr>
                <w:sz w:val="20"/>
                <w:szCs w:val="20"/>
                <w:color w:val="auto"/>
              </w:rPr>
            </w:pPr>
            <w:r>
              <w:rPr>
                <w:rFonts w:ascii="Arial" w:cs="Arial" w:eastAsia="Arial" w:hAnsi="Arial"/>
                <w:sz w:val="18"/>
                <w:szCs w:val="18"/>
                <w:color w:val="auto"/>
              </w:rPr>
              <w:t>contained in Exhibit 101)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21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Attached as Exhibits 101 to this report are the following formatted in inline XBRL (Extensible Business Reporting Language): (i) Condensed Consolidated Balance Sheet as of December 31, 2022 and March 31, 2022 (ii) Condensed Statements of Operations and Income for the three and nine months ended December 31, 2022 and 2021, (iii) Condensed Consolidated Statements of Comprehensive (Loss) Income for the three and nine months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2022 and 2021, (iv) Condensed Consolidated Statements of Cash Flows for the nine months ended December 31, 2022 and 2021,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 Notes to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AMERICAN SUPERCONDUCTOR CORPORATION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5740" w:type="dxa"/>
            <w:vAlign w:val="bottom"/>
          </w:tcPr>
          <w:p>
            <w:pPr>
              <w:ind w:left="5300"/>
              <w:spacing w:after="0"/>
              <w:rPr>
                <w:sz w:val="20"/>
                <w:szCs w:val="20"/>
                <w:color w:val="auto"/>
              </w:rPr>
            </w:pPr>
            <w:r>
              <w:rPr>
                <w:rFonts w:ascii="Arial" w:cs="Arial" w:eastAsia="Arial" w:hAnsi="Arial"/>
                <w:sz w:val="18"/>
                <w:szCs w:val="18"/>
                <w:b w:val="1"/>
                <w:bCs w:val="1"/>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John W. Kosiba,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rPr>
              <w:t>Date:</w:t>
            </w:r>
          </w:p>
        </w:tc>
        <w:tc>
          <w:tcPr>
            <w:tcW w:w="5740" w:type="dxa"/>
            <w:vAlign w:val="bottom"/>
          </w:tcPr>
          <w:p>
            <w:pPr>
              <w:ind w:left="140"/>
              <w:spacing w:after="0" w:line="195" w:lineRule="exact"/>
              <w:rPr>
                <w:sz w:val="20"/>
                <w:szCs w:val="20"/>
                <w:color w:val="auto"/>
              </w:rPr>
            </w:pPr>
            <w:r>
              <w:rPr>
                <w:rFonts w:ascii="Arial" w:cs="Arial" w:eastAsia="Arial" w:hAnsi="Arial"/>
                <w:sz w:val="18"/>
                <w:szCs w:val="18"/>
                <w:color w:val="auto"/>
              </w:rPr>
              <w:t>February 1, 2023</w:t>
            </w:r>
          </w:p>
        </w:tc>
        <w:tc>
          <w:tcPr>
            <w:tcW w:w="4960" w:type="dxa"/>
            <w:vAlign w:val="bottom"/>
          </w:tcPr>
          <w:p>
            <w:pPr>
              <w:jc w:val="center"/>
              <w:spacing w:after="0" w:line="195" w:lineRule="exact"/>
              <w:rPr>
                <w:sz w:val="20"/>
                <w:szCs w:val="20"/>
                <w:color w:val="auto"/>
              </w:rPr>
            </w:pPr>
            <w:r>
              <w:rPr>
                <w:rFonts w:ascii="Arial" w:cs="Arial" w:eastAsia="Arial" w:hAnsi="Arial"/>
                <w:sz w:val="18"/>
                <w:szCs w:val="18"/>
                <w:color w:val="auto"/>
                <w:w w:val="89"/>
              </w:rPr>
              <w:t>John W. Kosiba, Jr.</w:t>
            </w:r>
          </w:p>
        </w:tc>
      </w:tr>
      <w:tr>
        <w:trPr>
          <w:trHeight w:val="216"/>
        </w:trPr>
        <w:tc>
          <w:tcPr>
            <w:tcW w:w="5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r>
      <w:tr>
        <w:trPr>
          <w:trHeight w:val="230"/>
        </w:trPr>
        <w:tc>
          <w:tcPr>
            <w:tcW w:w="5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8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21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February 1, 2023</w:t>
            </w:r>
          </w:p>
        </w:tc>
        <w:tc>
          <w:tcPr>
            <w:tcW w:w="336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By:</w:t>
            </w:r>
          </w:p>
        </w:tc>
        <w:tc>
          <w:tcPr>
            <w:tcW w:w="35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1"/>
              </w:rPr>
              <w:t xml:space="preserve">/s/ </w:t>
            </w:r>
            <w:r>
              <w:rPr>
                <w:rFonts w:ascii="Arial" w:cs="Arial" w:eastAsia="Arial" w:hAnsi="Arial"/>
                <w:sz w:val="18"/>
                <w:szCs w:val="18"/>
                <w:b w:val="1"/>
                <w:bCs w:val="1"/>
                <w:color w:val="auto"/>
                <w:w w:val="91"/>
              </w:rPr>
              <w:t>Daniel P. McGahn</w:t>
            </w:r>
          </w:p>
        </w:tc>
      </w:tr>
      <w:tr>
        <w:trPr>
          <w:trHeight w:val="195"/>
        </w:trPr>
        <w:tc>
          <w:tcPr>
            <w:tcW w:w="4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540" w:type="dxa"/>
            <w:vAlign w:val="bottom"/>
          </w:tcPr>
          <w:p>
            <w:pPr>
              <w:jc w:val="center"/>
              <w:ind w:right="410"/>
              <w:spacing w:after="0" w:line="195" w:lineRule="exact"/>
              <w:rPr>
                <w:sz w:val="20"/>
                <w:szCs w:val="20"/>
                <w:color w:val="auto"/>
              </w:rPr>
            </w:pPr>
            <w:r>
              <w:rPr>
                <w:rFonts w:ascii="Arial" w:cs="Arial" w:eastAsia="Arial" w:hAnsi="Arial"/>
                <w:sz w:val="18"/>
                <w:szCs w:val="18"/>
                <w:color w:val="auto"/>
                <w:w w:val="90"/>
              </w:rPr>
              <w:t>Daniel P. McGahn</w:t>
            </w:r>
          </w:p>
        </w:tc>
      </w:tr>
      <w:tr>
        <w:trPr>
          <w:trHeight w:val="230"/>
        </w:trPr>
        <w:tc>
          <w:tcPr>
            <w:tcW w:w="43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540" w:type="dxa"/>
            <w:vAlign w:val="bottom"/>
          </w:tcPr>
          <w:p>
            <w:pPr>
              <w:jc w:val="center"/>
              <w:ind w:right="410"/>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W. Kosiba, Jr., certify that:</w:t>
      </w:r>
    </w:p>
    <w:p>
      <w:pPr>
        <w:spacing w:after="0" w:line="22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tabs>
          <w:tab w:leader="none" w:pos="700" w:val="left"/>
          <w:tab w:leader="none" w:pos="6720" w:val="left"/>
          <w:tab w:leader="none" w:pos="8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 2023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December 31, 2022,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900" w:val="left"/>
          <w:tab w:leader="none" w:pos="6740" w:val="left"/>
          <w:tab w:leader="none" w:pos="8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 2023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December 31, 2022,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780" w:val="left"/>
          <w:tab w:leader="none" w:pos="6740" w:val="left"/>
          <w:tab w:leader="none" w:pos="8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 2023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2023-02-01T16:29:02Z</dcterms:created>
  <dcterms:modified xsi:type="dcterms:W3CDTF">2023-02-01T16:29:02Z</dcterms:modified>
</cp:coreProperties>
</file>