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December 31, 2009</w:t>
      </w:r>
    </w:p>
    <w:p>
      <w:pPr>
        <w:spacing w:after="0" w:line="122" w:lineRule="exact"/>
        <w:rPr>
          <w:sz w:val="20"/>
          <w:szCs w:val="20"/>
          <w:color w:val="auto"/>
        </w:rPr>
      </w:pPr>
    </w:p>
    <w:p>
      <w:pPr>
        <w:ind w:left="1380" w:hanging="1021"/>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0"/>
          <w:szCs w:val="20"/>
          <w:color w:val="auto"/>
        </w:rPr>
      </w:pPr>
    </w:p>
    <w:p>
      <w:pPr>
        <w:ind w:left="1380"/>
        <w:spacing w:after="0"/>
        <w:tabs>
          <w:tab w:leader="none" w:pos="468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American Superconductor Corporation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gridSpan w:val="5"/>
          </w:tcPr>
          <w:p>
            <w:pPr>
              <w:jc w:val="center"/>
              <w:ind w:left="3470"/>
              <w:spacing w:after="0"/>
              <w:rPr>
                <w:sz w:val="20"/>
                <w:szCs w:val="20"/>
                <w:color w:val="auto"/>
              </w:rPr>
            </w:pPr>
            <w:r>
              <w:rPr>
                <w:rFonts w:ascii="Arial" w:cs="Arial" w:eastAsia="Arial" w:hAnsi="Arial"/>
                <w:sz w:val="18"/>
                <w:szCs w:val="18"/>
                <w:color w:val="auto"/>
                <w:w w:val="90"/>
              </w:rPr>
              <w:t>(Exact name of registrant as specified in its charter)</w:t>
            </w:r>
          </w:p>
        </w:tc>
        <w:tc>
          <w:tcPr>
            <w:tcW w:w="3540" w:type="dxa"/>
            <w:vAlign w:val="bottom"/>
          </w:tcPr>
          <w:p>
            <w:pPr>
              <w:spacing w:after="0"/>
              <w:rPr>
                <w:sz w:val="20"/>
                <w:szCs w:val="20"/>
                <w:color w:val="auto"/>
              </w:rPr>
            </w:pPr>
          </w:p>
        </w:tc>
      </w:tr>
      <w:tr>
        <w:trPr>
          <w:trHeight w:val="268"/>
        </w:trPr>
        <w:tc>
          <w:tcPr>
            <w:tcW w:w="4240" w:type="dxa"/>
            <w:vAlign w:val="bottom"/>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3540" w:type="dxa"/>
            <w:vAlign w:val="bottom"/>
          </w:tcPr>
          <w:p>
            <w:pPr>
              <w:spacing w:after="0"/>
              <w:rPr>
                <w:sz w:val="23"/>
                <w:szCs w:val="23"/>
                <w:color w:val="auto"/>
              </w:rPr>
            </w:pPr>
          </w:p>
        </w:tc>
      </w:tr>
      <w:tr>
        <w:trPr>
          <w:trHeight w:val="493"/>
        </w:trPr>
        <w:tc>
          <w:tcPr>
            <w:tcW w:w="7880" w:type="dxa"/>
            <w:vAlign w:val="bottom"/>
            <w:gridSpan w:val="5"/>
          </w:tcPr>
          <w:p>
            <w:pPr>
              <w:jc w:val="center"/>
              <w:ind w:right="2440"/>
              <w:spacing w:after="0"/>
              <w:rPr>
                <w:sz w:val="20"/>
                <w:szCs w:val="20"/>
                <w:color w:val="auto"/>
              </w:rPr>
            </w:pPr>
            <w:r>
              <w:rPr>
                <w:rFonts w:ascii="Arial" w:cs="Arial" w:eastAsia="Arial" w:hAnsi="Arial"/>
                <w:sz w:val="18"/>
                <w:szCs w:val="18"/>
                <w:b w:val="1"/>
                <w:bCs w:val="1"/>
                <w:color w:val="auto"/>
                <w:w w:val="91"/>
              </w:rPr>
              <w:t>Delaware</w:t>
            </w:r>
          </w:p>
        </w:tc>
        <w:tc>
          <w:tcPr>
            <w:tcW w:w="3540" w:type="dxa"/>
            <w:vAlign w:val="bottom"/>
          </w:tcPr>
          <w:p>
            <w:pPr>
              <w:jc w:val="right"/>
              <w:ind w:right="2190"/>
              <w:spacing w:after="0"/>
              <w:rPr>
                <w:sz w:val="20"/>
                <w:szCs w:val="20"/>
                <w:color w:val="auto"/>
              </w:rPr>
            </w:pPr>
            <w:r>
              <w:rPr>
                <w:rFonts w:ascii="Arial" w:cs="Arial" w:eastAsia="Arial" w:hAnsi="Arial"/>
                <w:sz w:val="18"/>
                <w:szCs w:val="18"/>
                <w:b w:val="1"/>
                <w:bCs w:val="1"/>
                <w:color w:val="auto"/>
              </w:rPr>
              <w:t>04-2959321</w:t>
            </w:r>
          </w:p>
        </w:tc>
      </w:tr>
      <w:tr>
        <w:trPr>
          <w:trHeight w:val="191"/>
        </w:trPr>
        <w:tc>
          <w:tcPr>
            <w:tcW w:w="5420" w:type="dxa"/>
            <w:vAlign w:val="bottom"/>
            <w:tcBorders>
              <w:top w:val="single" w:sz="8" w:color="auto"/>
            </w:tcBorders>
            <w:gridSpan w:val="2"/>
          </w:tcPr>
          <w:p>
            <w:pPr>
              <w:jc w:val="center"/>
              <w:ind w:right="40"/>
              <w:spacing w:after="0" w:line="191" w:lineRule="exact"/>
              <w:rPr>
                <w:sz w:val="20"/>
                <w:szCs w:val="20"/>
                <w:color w:val="auto"/>
              </w:rPr>
            </w:pPr>
            <w:r>
              <w:rPr>
                <w:rFonts w:ascii="Arial" w:cs="Arial" w:eastAsia="Arial" w:hAnsi="Arial"/>
                <w:sz w:val="18"/>
                <w:szCs w:val="18"/>
                <w:b w:val="1"/>
                <w:bCs w:val="1"/>
                <w:color w:val="auto"/>
                <w:w w:val="91"/>
              </w:rPr>
              <w:t>(State or other jurisdiction of</w:t>
            </w:r>
          </w:p>
        </w:tc>
        <w:tc>
          <w:tcPr>
            <w:tcW w:w="580" w:type="dxa"/>
            <w:vAlign w:val="bottom"/>
          </w:tcPr>
          <w:p>
            <w:pPr>
              <w:spacing w:after="0"/>
              <w:rPr>
                <w:sz w:val="16"/>
                <w:szCs w:val="16"/>
                <w:color w:val="auto"/>
              </w:rPr>
            </w:pPr>
          </w:p>
        </w:tc>
        <w:tc>
          <w:tcPr>
            <w:tcW w:w="1880" w:type="dxa"/>
            <w:vAlign w:val="bottom"/>
            <w:tcBorders>
              <w:top w:val="single" w:sz="8" w:color="auto"/>
            </w:tcBorders>
            <w:gridSpan w:val="2"/>
          </w:tcPr>
          <w:p>
            <w:pPr>
              <w:spacing w:after="0"/>
              <w:rPr>
                <w:sz w:val="16"/>
                <w:szCs w:val="16"/>
                <w:color w:val="auto"/>
              </w:rPr>
            </w:pPr>
          </w:p>
        </w:tc>
        <w:tc>
          <w:tcPr>
            <w:tcW w:w="3540" w:type="dxa"/>
            <w:vAlign w:val="bottom"/>
            <w:tcBorders>
              <w:top w:val="single" w:sz="8" w:color="auto"/>
            </w:tcBorders>
          </w:tcPr>
          <w:p>
            <w:pPr>
              <w:jc w:val="center"/>
              <w:ind w:right="1790"/>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7880" w:type="dxa"/>
            <w:vAlign w:val="bottom"/>
            <w:gridSpan w:val="5"/>
          </w:tcPr>
          <w:p>
            <w:pPr>
              <w:jc w:val="center"/>
              <w:ind w:right="2440"/>
              <w:spacing w:after="0"/>
              <w:rPr>
                <w:sz w:val="20"/>
                <w:szCs w:val="20"/>
                <w:color w:val="auto"/>
              </w:rPr>
            </w:pPr>
            <w:r>
              <w:rPr>
                <w:rFonts w:ascii="Arial" w:cs="Arial" w:eastAsia="Arial" w:hAnsi="Arial"/>
                <w:sz w:val="18"/>
                <w:szCs w:val="18"/>
                <w:b w:val="1"/>
                <w:bCs w:val="1"/>
                <w:color w:val="auto"/>
                <w:w w:val="91"/>
              </w:rPr>
              <w:t>incorporation or organization)</w:t>
            </w:r>
          </w:p>
        </w:tc>
        <w:tc>
          <w:tcPr>
            <w:tcW w:w="35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3"/>
              </w:rPr>
              <w:t>Identification No.)</w:t>
            </w:r>
          </w:p>
        </w:tc>
      </w:tr>
      <w:tr>
        <w:trPr>
          <w:trHeight w:val="432"/>
        </w:trPr>
        <w:tc>
          <w:tcPr>
            <w:tcW w:w="7880" w:type="dxa"/>
            <w:vAlign w:val="bottom"/>
            <w:gridSpan w:val="5"/>
          </w:tcPr>
          <w:p>
            <w:pPr>
              <w:jc w:val="center"/>
              <w:ind w:right="2460"/>
              <w:spacing w:after="0"/>
              <w:rPr>
                <w:sz w:val="20"/>
                <w:szCs w:val="20"/>
                <w:color w:val="auto"/>
              </w:rPr>
            </w:pPr>
            <w:r>
              <w:rPr>
                <w:rFonts w:ascii="Arial" w:cs="Arial" w:eastAsia="Arial" w:hAnsi="Arial"/>
                <w:sz w:val="18"/>
                <w:szCs w:val="18"/>
                <w:b w:val="1"/>
                <w:bCs w:val="1"/>
                <w:color w:val="auto"/>
                <w:w w:val="87"/>
              </w:rPr>
              <w:t>64 Jackson Road, Devens, Massachusetts</w:t>
            </w:r>
          </w:p>
        </w:tc>
        <w:tc>
          <w:tcPr>
            <w:tcW w:w="3540" w:type="dxa"/>
            <w:vAlign w:val="bottom"/>
          </w:tcPr>
          <w:p>
            <w:pPr>
              <w:jc w:val="right"/>
              <w:ind w:right="2390"/>
              <w:spacing w:after="0"/>
              <w:rPr>
                <w:sz w:val="20"/>
                <w:szCs w:val="20"/>
                <w:color w:val="auto"/>
              </w:rPr>
            </w:pPr>
            <w:r>
              <w:rPr>
                <w:rFonts w:ascii="Arial" w:cs="Arial" w:eastAsia="Arial" w:hAnsi="Arial"/>
                <w:sz w:val="18"/>
                <w:szCs w:val="18"/>
                <w:b w:val="1"/>
                <w:bCs w:val="1"/>
                <w:color w:val="auto"/>
              </w:rPr>
              <w:t>01434</w:t>
            </w:r>
          </w:p>
        </w:tc>
      </w:tr>
      <w:tr>
        <w:trPr>
          <w:trHeight w:val="228"/>
        </w:trPr>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580" w:type="dxa"/>
            <w:vAlign w:val="bottom"/>
          </w:tcPr>
          <w:p>
            <w:pPr>
              <w:spacing w:after="0"/>
              <w:rPr>
                <w:sz w:val="19"/>
                <w:szCs w:val="19"/>
                <w:color w:val="auto"/>
              </w:rPr>
            </w:pPr>
          </w:p>
        </w:tc>
        <w:tc>
          <w:tcPr>
            <w:tcW w:w="1880" w:type="dxa"/>
            <w:vAlign w:val="bottom"/>
            <w:tcBorders>
              <w:top w:val="single" w:sz="8" w:color="auto"/>
            </w:tcBorders>
            <w:gridSpan w:val="2"/>
          </w:tcPr>
          <w:p>
            <w:pPr>
              <w:spacing w:after="0"/>
              <w:rPr>
                <w:sz w:val="19"/>
                <w:szCs w:val="19"/>
                <w:color w:val="auto"/>
              </w:rPr>
            </w:pPr>
          </w:p>
        </w:tc>
        <w:tc>
          <w:tcPr>
            <w:tcW w:w="3540" w:type="dxa"/>
            <w:vAlign w:val="bottom"/>
            <w:tcBorders>
              <w:top w:val="single" w:sz="8" w:color="auto"/>
            </w:tcBorders>
          </w:tcPr>
          <w:p>
            <w:pPr>
              <w:jc w:val="center"/>
              <w:ind w:right="1810"/>
              <w:spacing w:after="0"/>
              <w:rPr>
                <w:sz w:val="20"/>
                <w:szCs w:val="20"/>
                <w:color w:val="auto"/>
              </w:rPr>
            </w:pPr>
            <w:r>
              <w:rPr>
                <w:rFonts w:ascii="Arial" w:cs="Arial" w:eastAsia="Arial" w:hAnsi="Arial"/>
                <w:sz w:val="18"/>
                <w:szCs w:val="18"/>
                <w:b w:val="1"/>
                <w:bCs w:val="1"/>
                <w:color w:val="auto"/>
                <w:w w:val="94"/>
              </w:rPr>
              <w:t>(Zip Code)</w:t>
            </w:r>
          </w:p>
        </w:tc>
      </w:tr>
      <w:tr>
        <w:trPr>
          <w:trHeight w:val="421"/>
        </w:trPr>
        <w:tc>
          <w:tcPr>
            <w:tcW w:w="7200" w:type="dxa"/>
            <w:vAlign w:val="bottom"/>
            <w:tcBorders>
              <w:bottom w:val="single" w:sz="8" w:color="auto"/>
            </w:tcBorders>
            <w:gridSpan w:val="4"/>
          </w:tcPr>
          <w:p>
            <w:pPr>
              <w:jc w:val="center"/>
              <w:ind w:left="4150"/>
              <w:spacing w:after="0"/>
              <w:rPr>
                <w:sz w:val="20"/>
                <w:szCs w:val="20"/>
                <w:color w:val="auto"/>
              </w:rPr>
            </w:pPr>
            <w:r>
              <w:rPr>
                <w:rFonts w:ascii="Arial" w:cs="Arial" w:eastAsia="Arial" w:hAnsi="Arial"/>
                <w:sz w:val="18"/>
                <w:szCs w:val="18"/>
                <w:b w:val="1"/>
                <w:bCs w:val="1"/>
                <w:color w:val="auto"/>
                <w:w w:val="90"/>
              </w:rPr>
              <w:t>(978) 842-3000</w:t>
            </w:r>
          </w:p>
        </w:tc>
        <w:tc>
          <w:tcPr>
            <w:tcW w:w="6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r>
        <w:trPr>
          <w:trHeight w:val="234"/>
        </w:trPr>
        <w:tc>
          <w:tcPr>
            <w:tcW w:w="7880" w:type="dxa"/>
            <w:vAlign w:val="bottom"/>
            <w:gridSpan w:val="5"/>
          </w:tcPr>
          <w:p>
            <w:pPr>
              <w:jc w:val="center"/>
              <w:ind w:left="345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540" w:type="dxa"/>
            <w:vAlign w:val="bottom"/>
          </w:tcPr>
          <w:p>
            <w:pPr>
              <w:spacing w:after="0"/>
              <w:rPr>
                <w:sz w:val="20"/>
                <w:szCs w:val="20"/>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206375</wp:posOffset>
            </wp:positionV>
            <wp:extent cx="1878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firstLine="263"/>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firstLine="227"/>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73" w:lineRule="exact"/>
        <w:rPr>
          <w:sz w:val="20"/>
          <w:szCs w:val="20"/>
          <w:color w:val="auto"/>
        </w:rPr>
      </w:pPr>
    </w:p>
    <w:p>
      <w:pPr>
        <w:jc w:val="both"/>
        <w:ind w:right="20" w:firstLine="254"/>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920" w:space="720"/>
            <w:col w:w="1420" w:space="720"/>
            <w:col w:w="3780" w:space="720"/>
            <w:col w:w="2140"/>
          </w:cols>
          <w:pgMar w:left="240" w:top="122" w:right="239" w:bottom="1440" w:gutter="0" w:footer="0" w:header="0"/>
          <w:type w:val="continuous"/>
        </w:sectPr>
      </w:pPr>
    </w:p>
    <w:p>
      <w:pPr>
        <w:spacing w:after="0" w:line="32" w:lineRule="exact"/>
        <w:rPr>
          <w:sz w:val="20"/>
          <w:szCs w:val="20"/>
          <w:color w:val="auto"/>
        </w:rPr>
      </w:pPr>
    </w:p>
    <w:p>
      <w:pPr>
        <w:jc w:val="center"/>
        <w:ind w:left="2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2">
            <w:col w:w="8860" w:space="220"/>
            <w:col w:w="2340"/>
          </w:cols>
          <w:pgMar w:left="240" w:top="122" w:right="239" w:bottom="1440" w:gutter="0" w:footer="0" w:header="0"/>
          <w:type w:val="continuous"/>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outstanding of the Registrant’s common stock: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6000" w:type="dxa"/>
            <w:vAlign w:val="bottom"/>
            <w:gridSpan w:val="2"/>
          </w:tcPr>
          <w:p>
            <w:pPr>
              <w:jc w:val="right"/>
              <w:ind w:right="2310"/>
              <w:spacing w:after="0"/>
              <w:rPr>
                <w:sz w:val="20"/>
                <w:szCs w:val="20"/>
                <w:color w:val="auto"/>
              </w:rPr>
            </w:pPr>
            <w:r>
              <w:rPr>
                <w:rFonts w:ascii="Arial" w:cs="Arial" w:eastAsia="Arial" w:hAnsi="Arial"/>
                <w:sz w:val="14"/>
                <w:szCs w:val="14"/>
                <w:color w:val="auto"/>
              </w:rPr>
              <w:t>44,789,359</w:t>
            </w:r>
          </w:p>
        </w:tc>
      </w:tr>
      <w:tr>
        <w:trPr>
          <w:trHeight w:val="228"/>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Class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 as of January 29, 2010</w:t>
            </w:r>
          </w:p>
        </w:tc>
      </w:tr>
      <w:tr>
        <w:trPr>
          <w:trHeight w:val="184"/>
        </w:trPr>
        <w:tc>
          <w:tcPr>
            <w:tcW w:w="5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420" w:type="dxa"/>
            <w:vAlign w:val="bottom"/>
            <w:tcBorders>
              <w:bottom w:val="single" w:sz="8" w:color="auto"/>
            </w:tcBorders>
          </w:tcPr>
          <w:p>
            <w:pPr>
              <w:spacing w:after="0"/>
              <w:rPr>
                <w:sz w:val="16"/>
                <w:szCs w:val="16"/>
                <w:color w:val="auto"/>
              </w:rPr>
            </w:pPr>
          </w:p>
        </w:tc>
      </w:tr>
      <w:tr>
        <w:trPr>
          <w:trHeight w:val="28"/>
        </w:trPr>
        <w:tc>
          <w:tcPr>
            <w:tcW w:w="5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618"/>
        </w:trPr>
        <w:tc>
          <w:tcPr>
            <w:tcW w:w="5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20" w:type="dxa"/>
            <w:vAlign w:val="bottom"/>
            <w:gridSpan w:val="21"/>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I—FINANCIAL INFORMATION</w:t>
              </w:r>
            </w:hyperlink>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169"/>
        </w:trPr>
        <w:tc>
          <w:tcPr>
            <w:tcW w:w="10820" w:type="dxa"/>
            <w:vAlign w:val="bottom"/>
            <w:gridSpan w:val="21"/>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380" w:type="dxa"/>
            <w:vAlign w:val="bottom"/>
            <w:tcBorders>
              <w:top w:val="single" w:sz="8" w:color="0000EE"/>
            </w:tcBorders>
            <w:gridSpan w:val="4"/>
          </w:tcPr>
          <w:p>
            <w:pPr>
              <w:spacing w:after="0"/>
              <w:rPr>
                <w:sz w:val="24"/>
                <w:szCs w:val="24"/>
                <w:color w:val="auto"/>
              </w:rPr>
            </w:pPr>
          </w:p>
        </w:tc>
        <w:tc>
          <w:tcPr>
            <w:tcW w:w="2260" w:type="dxa"/>
            <w:vAlign w:val="bottom"/>
            <w:tcBorders>
              <w:top w:val="single" w:sz="8" w:color="0000EE"/>
            </w:tcBorders>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7660" w:type="dxa"/>
            <w:vAlign w:val="bottom"/>
            <w:gridSpan w:val="9"/>
          </w:tcPr>
          <w:p>
            <w:pPr>
              <w:spacing w:after="0"/>
              <w:rPr>
                <w:sz w:val="24"/>
                <w:szCs w:val="24"/>
                <w:color w:val="auto"/>
              </w:rPr>
            </w:pPr>
          </w:p>
        </w:tc>
        <w:tc>
          <w:tcPr>
            <w:tcW w:w="600" w:type="dxa"/>
            <w:vAlign w:val="bottom"/>
          </w:tcPr>
          <w:p>
            <w:pPr>
              <w:jc w:val="right"/>
              <w:ind w:right="19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Balance Sheets as of December 31, 2009 and March 31, 2009</w:t>
              </w:r>
            </w:hyperlink>
          </w:p>
        </w:tc>
        <w:tc>
          <w:tcPr>
            <w:tcW w:w="2840" w:type="dxa"/>
            <w:vAlign w:val="bottom"/>
            <w:gridSpan w:val="4"/>
          </w:tcPr>
          <w:p>
            <w:pPr>
              <w:spacing w:after="0"/>
              <w:rPr>
                <w:sz w:val="24"/>
                <w:szCs w:val="24"/>
                <w:color w:val="auto"/>
              </w:rPr>
            </w:pPr>
          </w:p>
        </w:tc>
        <w:tc>
          <w:tcPr>
            <w:tcW w:w="600" w:type="dxa"/>
            <w:vAlign w:val="bottom"/>
          </w:tcPr>
          <w:p>
            <w:pPr>
              <w:jc w:val="right"/>
              <w:ind w:right="19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Operations for the three and nine months ended December 31, 2009 and 2008</w:t>
              </w:r>
            </w:hyperlink>
          </w:p>
        </w:tc>
        <w:tc>
          <w:tcPr>
            <w:tcW w:w="660" w:type="dxa"/>
            <w:vAlign w:val="bottom"/>
            <w:gridSpan w:val="2"/>
          </w:tcPr>
          <w:p>
            <w:pPr>
              <w:spacing w:after="0"/>
              <w:rPr>
                <w:sz w:val="24"/>
                <w:szCs w:val="24"/>
                <w:color w:val="auto"/>
              </w:rPr>
            </w:pPr>
          </w:p>
        </w:tc>
        <w:tc>
          <w:tcPr>
            <w:tcW w:w="600" w:type="dxa"/>
            <w:vAlign w:val="bottom"/>
          </w:tcPr>
          <w:p>
            <w:pPr>
              <w:jc w:val="right"/>
              <w:ind w:right="19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Comprehensive Income (Loss) for the three and nine months ended December 31,</w:t>
              </w:r>
            </w:hyperlink>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2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2009 and 2008</w:t>
              </w:r>
            </w:hyperlink>
          </w:p>
        </w:tc>
        <w:tc>
          <w:tcPr>
            <w:tcW w:w="60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Cash Flows for the nine months ended December 31, 2009 and 2008</w:t>
              </w:r>
            </w:hyperlink>
          </w:p>
        </w:tc>
        <w:tc>
          <w:tcPr>
            <w:tcW w:w="600" w:type="dxa"/>
            <w:vAlign w:val="bottom"/>
          </w:tcPr>
          <w:p>
            <w:pPr>
              <w:jc w:val="right"/>
              <w:ind w:right="19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0" w:type="dxa"/>
            <w:vAlign w:val="bottom"/>
            <w:tcBorders>
              <w:top w:val="single" w:sz="8" w:color="0000EE"/>
            </w:tcBorders>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1320" w:type="dxa"/>
            <w:vAlign w:val="bottom"/>
            <w:gridSpan w:val="3"/>
          </w:tcPr>
          <w:p>
            <w:pPr>
              <w:spacing w:after="0"/>
              <w:rPr>
                <w:sz w:val="24"/>
                <w:szCs w:val="24"/>
                <w:color w:val="auto"/>
              </w:rPr>
            </w:pPr>
          </w:p>
        </w:tc>
        <w:tc>
          <w:tcPr>
            <w:tcW w:w="600" w:type="dxa"/>
            <w:vAlign w:val="bottom"/>
          </w:tcPr>
          <w:p>
            <w:pPr>
              <w:jc w:val="right"/>
              <w:ind w:right="19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Item 2.</w:t>
              </w:r>
            </w:hyperlink>
          </w:p>
        </w:tc>
        <w:tc>
          <w:tcPr>
            <w:tcW w:w="360" w:type="dxa"/>
            <w:vAlign w:val="bottom"/>
            <w:gridSpan w:val="3"/>
          </w:tcPr>
          <w:p>
            <w:pPr>
              <w:spacing w:after="0"/>
              <w:rPr>
                <w:sz w:val="24"/>
                <w:szCs w:val="24"/>
                <w:color w:val="auto"/>
              </w:rPr>
            </w:pPr>
          </w:p>
        </w:tc>
        <w:tc>
          <w:tcPr>
            <w:tcW w:w="6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460" w:type="dxa"/>
            <w:vAlign w:val="bottom"/>
            <w:gridSpan w:val="5"/>
          </w:tcPr>
          <w:p>
            <w:pPr>
              <w:spacing w:after="0"/>
              <w:rPr>
                <w:sz w:val="24"/>
                <w:szCs w:val="24"/>
                <w:color w:val="auto"/>
              </w:rPr>
            </w:pPr>
          </w:p>
        </w:tc>
        <w:tc>
          <w:tcPr>
            <w:tcW w:w="600" w:type="dxa"/>
            <w:vAlign w:val="bottom"/>
          </w:tcPr>
          <w:p>
            <w:pPr>
              <w:jc w:val="right"/>
              <w:ind w:right="19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Item 3.</w:t>
              </w:r>
            </w:hyperlink>
          </w:p>
        </w:tc>
        <w:tc>
          <w:tcPr>
            <w:tcW w:w="360" w:type="dxa"/>
            <w:vAlign w:val="bottom"/>
            <w:gridSpan w:val="3"/>
          </w:tcPr>
          <w:p>
            <w:pPr>
              <w:spacing w:after="0"/>
              <w:rPr>
                <w:sz w:val="24"/>
                <w:szCs w:val="24"/>
                <w:color w:val="auto"/>
              </w:rPr>
            </w:pPr>
          </w:p>
        </w:tc>
        <w:tc>
          <w:tcPr>
            <w:tcW w:w="43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5560" w:type="dxa"/>
            <w:vAlign w:val="bottom"/>
            <w:gridSpan w:val="7"/>
          </w:tcPr>
          <w:p>
            <w:pPr>
              <w:spacing w:after="0"/>
              <w:rPr>
                <w:sz w:val="24"/>
                <w:szCs w:val="24"/>
                <w:color w:val="auto"/>
              </w:rPr>
            </w:pPr>
          </w:p>
        </w:tc>
        <w:tc>
          <w:tcPr>
            <w:tcW w:w="600" w:type="dxa"/>
            <w:vAlign w:val="bottom"/>
          </w:tcPr>
          <w:p>
            <w:pPr>
              <w:jc w:val="right"/>
              <w:ind w:right="19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380" w:type="dxa"/>
            <w:vAlign w:val="bottom"/>
            <w:gridSpan w:val="4"/>
          </w:tcPr>
          <w:p>
            <w:pPr>
              <w:spacing w:after="0"/>
              <w:rPr>
                <w:sz w:val="24"/>
                <w:szCs w:val="24"/>
                <w:color w:val="auto"/>
              </w:rPr>
            </w:pPr>
          </w:p>
        </w:tc>
        <w:tc>
          <w:tcPr>
            <w:tcW w:w="992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600" w:type="dxa"/>
            <w:vAlign w:val="bottom"/>
          </w:tcPr>
          <w:p>
            <w:pPr>
              <w:jc w:val="right"/>
              <w:ind w:right="19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20" w:type="dxa"/>
            <w:vAlign w:val="bottom"/>
            <w:gridSpan w:val="21"/>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II—OTHER INFORMATION</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tcBorders>
              <w:top w:val="single" w:sz="8" w:color="0000EE"/>
            </w:tcBorders>
            <w:gridSpan w:val="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1960" w:type="dxa"/>
            <w:vAlign w:val="bottom"/>
            <w:tcBorders>
              <w:top w:val="single" w:sz="8" w:color="0000EE"/>
            </w:tcBorders>
            <w:gridSpan w:val="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7960" w:type="dxa"/>
            <w:vAlign w:val="bottom"/>
            <w:gridSpan w:val="10"/>
          </w:tcPr>
          <w:p>
            <w:pPr>
              <w:spacing w:after="0"/>
              <w:rPr>
                <w:sz w:val="24"/>
                <w:szCs w:val="24"/>
                <w:color w:val="auto"/>
              </w:rPr>
            </w:pPr>
          </w:p>
        </w:tc>
        <w:tc>
          <w:tcPr>
            <w:tcW w:w="600" w:type="dxa"/>
            <w:vAlign w:val="bottom"/>
          </w:tcPr>
          <w:p>
            <w:pPr>
              <w:jc w:val="right"/>
              <w:ind w:right="19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27">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992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600" w:type="dxa"/>
            <w:vAlign w:val="bottom"/>
          </w:tcPr>
          <w:p>
            <w:pPr>
              <w:jc w:val="right"/>
              <w:ind w:right="19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27">
              <w:r>
                <w:rPr>
                  <w:rFonts w:ascii="Arial" w:cs="Arial" w:eastAsia="Arial" w:hAnsi="Arial"/>
                  <w:sz w:val="18"/>
                  <w:szCs w:val="18"/>
                  <w:color w:val="0000EE"/>
                  <w:w w:val="94"/>
                </w:rPr>
                <w:t>Item 6.</w:t>
              </w:r>
            </w:hyperlink>
          </w:p>
        </w:tc>
        <w:tc>
          <w:tcPr>
            <w:tcW w:w="360" w:type="dxa"/>
            <w:vAlign w:val="bottom"/>
            <w:gridSpan w:val="3"/>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3740" w:type="dxa"/>
            <w:vAlign w:val="bottom"/>
            <w:tcBorders>
              <w:top w:val="single" w:sz="8" w:color="0000EE"/>
            </w:tcBorders>
            <w:gridSpan w:val="7"/>
          </w:tcPr>
          <w:p>
            <w:pPr>
              <w:spacing w:after="0"/>
              <w:rPr>
                <w:sz w:val="24"/>
                <w:szCs w:val="24"/>
                <w:color w:val="auto"/>
              </w:rPr>
            </w:pPr>
          </w:p>
        </w:tc>
        <w:tc>
          <w:tcPr>
            <w:tcW w:w="5580" w:type="dxa"/>
            <w:vAlign w:val="bottom"/>
            <w:gridSpan w:val="8"/>
          </w:tcPr>
          <w:p>
            <w:pPr>
              <w:spacing w:after="0"/>
              <w:rPr>
                <w:sz w:val="24"/>
                <w:szCs w:val="24"/>
                <w:color w:val="auto"/>
              </w:rPr>
            </w:pPr>
          </w:p>
        </w:tc>
        <w:tc>
          <w:tcPr>
            <w:tcW w:w="600" w:type="dxa"/>
            <w:vAlign w:val="bottom"/>
          </w:tcPr>
          <w:p>
            <w:pPr>
              <w:jc w:val="right"/>
              <w:ind w:right="19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7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Signature</w:t>
              </w:r>
            </w:hyperlink>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ind w:right="19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right="2800"/>
        <w:spacing w:after="0" w:line="253" w:lineRule="auto"/>
        <w:rPr>
          <w:sz w:val="20"/>
          <w:szCs w:val="20"/>
          <w:color w:val="auto"/>
        </w:rPr>
      </w:pPr>
      <w:r>
        <w:rPr>
          <w:rFonts w:ascii="Arial" w:cs="Arial" w:eastAsia="Arial" w:hAnsi="Arial"/>
          <w:sz w:val="18"/>
          <w:szCs w:val="18"/>
          <w:u w:val="single" w:color="auto"/>
          <w:color w:val="0000EE"/>
        </w:rPr>
        <w:t>EX-10.1 First Amendment to Amended and Restated Executive Severance Agreement, effective as of December 11, 2009 EX-31.1 Section 302 Certification of Chief Executive Officer EX-31.2 Section 302 Certification of Chief Financial Officer</w:t>
      </w:r>
    </w:p>
    <w:p>
      <w:pPr>
        <w:ind w:left="60"/>
        <w:spacing w:after="0"/>
        <w:rPr>
          <w:sz w:val="20"/>
          <w:szCs w:val="20"/>
          <w:color w:val="auto"/>
        </w:rPr>
      </w:pPr>
      <w:r>
        <w:rPr>
          <w:rFonts w:ascii="Arial" w:cs="Arial" w:eastAsia="Arial" w:hAnsi="Arial"/>
          <w:sz w:val="18"/>
          <w:szCs w:val="18"/>
          <w:u w:val="single" w:color="auto"/>
          <w:color w:val="0000EE"/>
        </w:rPr>
        <w:t>EX-32.1 Section 906 Certification of Chief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 Section 906 Certification of Chief Financial Officer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620" w:type="dxa"/>
            <w:vAlign w:val="bottom"/>
            <w:gridSpan w:val="4"/>
          </w:tcPr>
          <w:p>
            <w:pPr>
              <w:ind w:left="142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ind w:left="3900"/>
              <w:spacing w:after="0"/>
              <w:rPr>
                <w:sz w:val="20"/>
                <w:szCs w:val="20"/>
                <w:color w:val="auto"/>
              </w:rPr>
            </w:pPr>
            <w:r>
              <w:rPr>
                <w:rFonts w:ascii="Arial" w:cs="Arial" w:eastAsia="Arial" w:hAnsi="Arial"/>
                <w:sz w:val="18"/>
                <w:szCs w:val="18"/>
                <w:b w:val="1"/>
                <w:bCs w:val="1"/>
                <w:color w:val="auto"/>
              </w:rPr>
              <w:t>ASSETS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40,383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50,913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78,894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36,100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13,074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 net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225,957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212,506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58,094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Goodwill</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38,643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15,681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assets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18,008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5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364,909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309,106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ind w:left="2280"/>
              <w:spacing w:after="0"/>
              <w:rPr>
                <w:sz w:val="20"/>
                <w:szCs w:val="20"/>
                <w:color w:val="auto"/>
              </w:rPr>
            </w:pPr>
            <w:r>
              <w:rPr>
                <w:rFonts w:ascii="Arial" w:cs="Arial" w:eastAsia="Arial" w:hAnsi="Arial"/>
                <w:sz w:val="18"/>
                <w:szCs w:val="18"/>
                <w:b w:val="1"/>
                <w:bCs w:val="1"/>
                <w:color w:val="auto"/>
              </w:rPr>
              <w:t>LIABILITIES AND STOCKHOLDERS’ EQUITY</w:t>
            </w: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6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5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65,386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21,066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84,880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1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97,807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682,059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653,054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contract costs — warrant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(415,826)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(427,137)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400"/>
              <w:spacing w:after="0"/>
              <w:rPr>
                <w:sz w:val="20"/>
                <w:szCs w:val="20"/>
                <w:color w:val="auto"/>
              </w:rPr>
            </w:pPr>
            <w:r>
              <w:rPr>
                <w:rFonts w:ascii="Arial" w:cs="Arial" w:eastAsia="Arial" w:hAnsi="Arial"/>
                <w:sz w:val="18"/>
                <w:szCs w:val="18"/>
                <w:color w:val="auto"/>
              </w:rPr>
              <w:t>Total stockholders’ equity</w:t>
            </w:r>
          </w:p>
        </w:tc>
        <w:tc>
          <w:tcPr>
            <w:tcW w:w="1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267,102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221,861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364,909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309,106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10220" w:type="dxa"/>
            <w:vAlign w:val="bottom"/>
            <w:gridSpan w:val="5"/>
          </w:tcPr>
          <w:p>
            <w:pPr>
              <w:jc w:val="center"/>
              <w:ind w:left="1070"/>
              <w:spacing w:after="0"/>
              <w:rPr>
                <w:sz w:val="20"/>
                <w:szCs w:val="20"/>
                <w:color w:val="auto"/>
              </w:rPr>
            </w:pPr>
            <w:r>
              <w:rPr>
                <w:rFonts w:ascii="Arial" w:cs="Arial" w:eastAsia="Arial" w:hAnsi="Arial"/>
                <w:sz w:val="18"/>
                <w:szCs w:val="18"/>
                <w:color w:val="auto"/>
                <w:w w:val="89"/>
              </w:rPr>
              <w:t>The accompanying notes are an integral part of the unaudited condensed consolidated financial statements.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620" w:type="dxa"/>
            <w:vAlign w:val="bottom"/>
            <w:gridSpan w:val="2"/>
          </w:tcPr>
          <w:p>
            <w:pPr>
              <w:jc w:val="right"/>
              <w:ind w:right="1770"/>
              <w:spacing w:after="0"/>
              <w:rPr>
                <w:sz w:val="20"/>
                <w:szCs w:val="20"/>
                <w:color w:val="auto"/>
              </w:rPr>
            </w:pPr>
            <w:r>
              <w:rPr>
                <w:rFonts w:ascii="Arial" w:cs="Arial" w:eastAsia="Arial" w:hAnsi="Arial"/>
                <w:sz w:val="18"/>
                <w:szCs w:val="18"/>
                <w:color w:val="auto"/>
              </w:rPr>
              <w:t>3</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left="260" w:right="2440"/>
        <w:spacing w:after="0" w:line="266"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OPERATIONS (In thousands, except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80,659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41,334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228,331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121,526</w:t>
            </w:r>
          </w:p>
        </w:tc>
        <w:tc>
          <w:tcPr>
            <w:tcW w:w="0" w:type="dxa"/>
            <w:vAlign w:val="bottom"/>
          </w:tcPr>
          <w:p>
            <w:pPr>
              <w:spacing w:after="0"/>
              <w:rPr>
                <w:sz w:val="1"/>
                <w:szCs w:val="1"/>
                <w:color w:val="auto"/>
              </w:rPr>
            </w:pPr>
          </w:p>
        </w:tc>
      </w:tr>
      <w:tr>
        <w:trPr>
          <w:trHeight w:val="439"/>
        </w:trPr>
        <w:tc>
          <w:tcPr>
            <w:tcW w:w="5340" w:type="dxa"/>
            <w:vAlign w:val="bottom"/>
            <w:gridSpan w:val="2"/>
          </w:tcPr>
          <w:p>
            <w:pPr>
              <w:spacing w:after="0"/>
              <w:rPr>
                <w:sz w:val="20"/>
                <w:szCs w:val="20"/>
                <w:color w:val="auto"/>
              </w:rPr>
            </w:pPr>
            <w:r>
              <w:rPr>
                <w:rFonts w:ascii="Arial" w:cs="Arial" w:eastAsia="Arial" w:hAnsi="Arial"/>
                <w:sz w:val="18"/>
                <w:szCs w:val="18"/>
                <w:color w:val="auto"/>
              </w:rPr>
              <w:t>Cost and operating expenses:</w:t>
            </w:r>
          </w:p>
        </w:tc>
        <w:tc>
          <w:tcPr>
            <w:tcW w:w="1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50,444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31,764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146,498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6,421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5,305</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16,365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12,881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36,478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Amortization of acquisition related intangibles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1,378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and impairments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00"/>
              <w:spacing w:after="0"/>
              <w:rPr>
                <w:sz w:val="20"/>
                <w:szCs w:val="20"/>
                <w:color w:val="auto"/>
              </w:rPr>
            </w:pPr>
            <w:r>
              <w:rPr>
                <w:rFonts w:ascii="Arial" w:cs="Arial" w:eastAsia="Arial" w:hAnsi="Arial"/>
                <w:sz w:val="18"/>
                <w:szCs w:val="18"/>
                <w:color w:val="auto"/>
              </w:rPr>
              <w:t>Total cost and operating expenses</w:t>
            </w:r>
          </w:p>
        </w:tc>
        <w:tc>
          <w:tcPr>
            <w:tcW w:w="1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70,219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47,070</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201,170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133,763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10,440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(5,736)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27,161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(12,237)</w:t>
            </w:r>
          </w:p>
        </w:tc>
        <w:tc>
          <w:tcPr>
            <w:tcW w:w="0" w:type="dxa"/>
            <w:vAlign w:val="bottom"/>
          </w:tcPr>
          <w:p>
            <w:pPr>
              <w:spacing w:after="0"/>
              <w:rPr>
                <w:sz w:val="1"/>
                <w:szCs w:val="1"/>
                <w:color w:val="auto"/>
              </w:rPr>
            </w:pP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628</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(2,654)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0"/>
        </w:trPr>
        <w:tc>
          <w:tcPr>
            <w:tcW w:w="53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340" w:type="dxa"/>
            <w:vAlign w:val="bottom"/>
            <w:gridSpan w:val="2"/>
          </w:tcPr>
          <w:p>
            <w:pPr>
              <w:spacing w:after="0"/>
              <w:rPr>
                <w:sz w:val="20"/>
                <w:szCs w:val="20"/>
                <w:color w:val="auto"/>
              </w:rPr>
            </w:pPr>
            <w:r>
              <w:rPr>
                <w:rFonts w:ascii="Arial" w:cs="Arial" w:eastAsia="Arial" w:hAnsi="Arial"/>
                <w:sz w:val="18"/>
                <w:szCs w:val="18"/>
                <w:color w:val="auto"/>
              </w:rPr>
              <w:t>Income (loss) before income tax expense</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10,828</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25,135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(12,377)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3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5,179</w:t>
            </w:r>
          </w:p>
        </w:tc>
        <w:tc>
          <w:tcPr>
            <w:tcW w:w="6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(7,772)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11,311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Basic</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12</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44,623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43,024</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45,566</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43,024</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45,072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COMPREHENSIVE INCOME (LOSS)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5,179</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11,311</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(17,943)</w:t>
            </w:r>
          </w:p>
        </w:tc>
        <w:tc>
          <w:tcPr>
            <w:tcW w:w="0" w:type="dxa"/>
            <w:vAlign w:val="bottom"/>
          </w:tcPr>
          <w:p>
            <w:pPr>
              <w:spacing w:after="0"/>
              <w:rPr>
                <w:sz w:val="1"/>
                <w:szCs w:val="1"/>
                <w:color w:val="auto"/>
              </w:rPr>
            </w:pPr>
          </w:p>
        </w:tc>
      </w:tr>
      <w:tr>
        <w:trPr>
          <w:trHeight w:val="439"/>
        </w:trPr>
        <w:tc>
          <w:tcPr>
            <w:tcW w:w="654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(2,275)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5,030</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Unrealized gain/(loss) on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(2,284)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4,912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(8,350</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16,223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(22,401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CASH FLOWS (In thousands)</w:t>
      </w:r>
    </w:p>
    <w:p>
      <w:pPr>
        <w:spacing w:after="0" w:line="386"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For the nine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11,311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income/(loss) to net cash used in operations: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7,158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Stock-based compensation expense—non-employee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Allowance for doubtful accounts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Re-valuation of warrant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Other non-cash items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 and liability accounts: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(33,035)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Inventory</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(2,978)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 and accrued expenses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3,882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operating activities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439"/>
        </w:trPr>
        <w:tc>
          <w:tcPr>
            <w:tcW w:w="74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8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 of property, plant and equipment, net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Purchase of marketable securities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(68,096)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(77,602)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the maturity of marketable securities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Change in restricted cash</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1,645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 of intangible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Change in other assets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(36,284)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(21,664)</w:t>
            </w:r>
          </w:p>
        </w:tc>
        <w:tc>
          <w:tcPr>
            <w:tcW w:w="0" w:type="dxa"/>
            <w:vAlign w:val="bottom"/>
          </w:tcPr>
          <w:p>
            <w:pPr>
              <w:spacing w:after="0"/>
              <w:rPr>
                <w:sz w:val="1"/>
                <w:szCs w:val="1"/>
                <w:color w:val="auto"/>
              </w:rPr>
            </w:pPr>
          </w:p>
        </w:tc>
      </w:tr>
      <w:tr>
        <w:trPr>
          <w:trHeight w:val="439"/>
        </w:trPr>
        <w:tc>
          <w:tcPr>
            <w:tcW w:w="74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exercise of employee stock options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6,048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12,230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(30,291)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(12,246)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70,674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67,834</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40,383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Non-cash issuance of common stock</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1,610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contingent consideration in connection with acquisitions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11,008</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and Basis of Presentation</w:t>
      </w:r>
    </w:p>
    <w:p>
      <w:pPr>
        <w:spacing w:after="0" w:line="121" w:lineRule="exact"/>
        <w:rPr>
          <w:sz w:val="20"/>
          <w:szCs w:val="20"/>
          <w:color w:val="auto"/>
        </w:rPr>
      </w:pPr>
    </w:p>
    <w:p>
      <w:pPr>
        <w:jc w:val="both"/>
        <w:ind w:firstLine="370"/>
        <w:spacing w:after="0" w:line="293" w:lineRule="auto"/>
        <w:rPr>
          <w:sz w:val="20"/>
          <w:szCs w:val="20"/>
          <w:color w:val="auto"/>
        </w:rPr>
      </w:pPr>
      <w:r>
        <w:rPr>
          <w:rFonts w:ascii="Arial" w:cs="Arial" w:eastAsia="Arial" w:hAnsi="Arial"/>
          <w:sz w:val="16"/>
          <w:szCs w:val="16"/>
          <w:color w:val="auto"/>
        </w:rPr>
        <w:t>American Superconductor Corporation (the “Company” or “AMSC”) was founded on April 9, 1987. The Company offers an array of proprietary technologies and solutions spanning the electric power infrastructure — from generation to delivery to end use. The Company is a leader in alternative energy, providing proven, megawatt-scale wind turbine designs and electrical control systems. The Company also offers a host of Smart Grid technologies for power grid operators that enhance the reliability, efficiency and capacity of the power grid, and seamlessly integrate renewable energy sources into the power infrastructure. These technologies include superconductor power cable systems, grid-level surge protectors and power electronics-based voltage stabilization systems. The Company operates in two business segments: AMSC Power Systems and AMSC Superconductors.</w:t>
      </w:r>
    </w:p>
    <w:p>
      <w:pPr>
        <w:spacing w:after="0" w:line="57" w:lineRule="exact"/>
        <w:rPr>
          <w:sz w:val="20"/>
          <w:szCs w:val="20"/>
          <w:color w:val="auto"/>
        </w:rPr>
      </w:pPr>
    </w:p>
    <w:p>
      <w:pPr>
        <w:jc w:val="both"/>
        <w:ind w:firstLine="357"/>
        <w:spacing w:after="0" w:line="290" w:lineRule="auto"/>
        <w:rPr>
          <w:sz w:val="20"/>
          <w:szCs w:val="20"/>
          <w:color w:val="auto"/>
        </w:rPr>
      </w:pPr>
      <w:r>
        <w:rPr>
          <w:rFonts w:ascii="Arial" w:cs="Arial" w:eastAsia="Arial" w:hAnsi="Arial"/>
          <w:sz w:val="16"/>
          <w:szCs w:val="16"/>
          <w:color w:val="auto"/>
        </w:rPr>
        <w:t>These unaudited condensed consolidated financial statements of the Company have been prepared in accordance with the Securities and Exchange Commission’s (“SEC”) instructions to Form 10-Q. Certain information and footnote disclosures normally included in the financial statements prepared in accordance with accounting principles generally accepted in the United States have been condensed or omitted pursuant to those instructions. The year-end condensed balance sheet data was derived from audited financial statements but does not include all disclosures required by generally accepted accounting principles in the United States of America. The unaudited condensed consolidated financial statements, in the opinion of management, reflect all adjustments (consisting of normal recurring adjustments) necessary for a fair statement of the results for the interim periods ended December 31, 2009 and 2008 and the financial position at December 31, 2009. The unaudited condensed consolidated financial statements include the accounts of the Company and its wholly-owned subsidiaries. All significant intercompany balances and transactions are eliminated in consolidation.</w:t>
      </w:r>
    </w:p>
    <w:p>
      <w:pPr>
        <w:spacing w:after="0" w:line="58" w:lineRule="exact"/>
        <w:rPr>
          <w:sz w:val="20"/>
          <w:szCs w:val="20"/>
          <w:color w:val="auto"/>
        </w:rPr>
      </w:pPr>
    </w:p>
    <w:p>
      <w:pPr>
        <w:jc w:val="both"/>
        <w:ind w:firstLine="238"/>
        <w:spacing w:after="0" w:line="286" w:lineRule="auto"/>
        <w:rPr>
          <w:sz w:val="20"/>
          <w:szCs w:val="20"/>
          <w:color w:val="auto"/>
        </w:rPr>
      </w:pPr>
      <w:r>
        <w:rPr>
          <w:rFonts w:ascii="Arial" w:cs="Arial" w:eastAsia="Arial" w:hAnsi="Arial"/>
          <w:sz w:val="17"/>
          <w:szCs w:val="17"/>
          <w:color w:val="auto"/>
        </w:rPr>
        <w:t>The results of operations for an interim period are not necessarily indicative of the results of operations to be expected for the fiscal year. These unaudited condensed consolidated financial statements should be read in conjunction with the audited consolidated financial statements for the fiscal year ended March 31, 2009 (fiscal 2008) which are contained in the Company’s Annual Report on Form 10-K, filed with the SEC on May 28, 2009.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firstLine="254"/>
        <w:spacing w:after="0" w:line="255" w:lineRule="auto"/>
        <w:rPr>
          <w:sz w:val="20"/>
          <w:szCs w:val="20"/>
          <w:color w:val="auto"/>
        </w:rPr>
      </w:pPr>
      <w:r>
        <w:rPr>
          <w:rFonts w:ascii="Arial" w:cs="Arial" w:eastAsia="Arial" w:hAnsi="Arial"/>
          <w:sz w:val="18"/>
          <w:szCs w:val="18"/>
          <w:color w:val="auto"/>
        </w:rPr>
        <w:t>In June 2008, the Financial Accounting Standards Boards (“FASB”) issued guidance in determining whether instruments granted in share-based payment transactions are participating securities for purposes of calculating earnings per share. Under the provisions of this standard, unvested awards of share-based payments with non-forfeitable rights to receive dividends or dividend equivalents are considered participating securities for purposes of calculating earnings per share. This accounting standard is effective for financial statements issued for fiscal years beginning after December 15, 2008, and interim periods within those years. The Company adopted this standard on April 1, 2009. The adoption did not have a material effect on its financial condition or results of operations.</w:t>
      </w:r>
    </w:p>
    <w:p>
      <w:pPr>
        <w:spacing w:after="0" w:line="85" w:lineRule="exact"/>
        <w:rPr>
          <w:sz w:val="20"/>
          <w:szCs w:val="20"/>
          <w:color w:val="auto"/>
        </w:rPr>
      </w:pPr>
    </w:p>
    <w:p>
      <w:pPr>
        <w:jc w:val="both"/>
        <w:ind w:firstLine="290"/>
        <w:spacing w:after="0" w:line="290" w:lineRule="auto"/>
        <w:rPr>
          <w:sz w:val="20"/>
          <w:szCs w:val="20"/>
          <w:color w:val="auto"/>
        </w:rPr>
      </w:pPr>
      <w:r>
        <w:rPr>
          <w:rFonts w:ascii="Arial" w:cs="Arial" w:eastAsia="Arial" w:hAnsi="Arial"/>
          <w:sz w:val="16"/>
          <w:szCs w:val="16"/>
          <w:color w:val="auto"/>
        </w:rPr>
        <w:t>In April 2009, the FASB issued a standard, which amends and clarifies a previous standard for business combinations, to address application issues on initial recognition and measurement, subsequent measurement and accounting, and disclosure of assets and liabilities arising from contingencies in a business combination. Under this standard, an acquirer is required to recognize at fair value an asset acquired or liability assumed in a business combination that arises from a contingency if the acquisition date fair value can be determined during the measurement period. If the acquisition date fair value cannot be determined, then the acquirer applies the recognition criteria in accounting for contingencies, and makes a reasonable estimation of the amount of a loss, to determine whether the contingency should be recognized as of the acquisition date or after it. The adoption of this standard could materially change the accounting for business combinations consummated subsequent to its effective date of April 1, 2009. On April 1, 2009, the Company adopted the provisions of this standard and the adoption did not have a material effect on its financial condition or results of operations.</w:t>
      </w:r>
    </w:p>
    <w:p>
      <w:pPr>
        <w:spacing w:after="0" w:line="58" w:lineRule="exact"/>
        <w:rPr>
          <w:sz w:val="20"/>
          <w:szCs w:val="20"/>
          <w:color w:val="auto"/>
        </w:rPr>
      </w:pPr>
    </w:p>
    <w:p>
      <w:pPr>
        <w:jc w:val="both"/>
        <w:ind w:firstLine="385"/>
        <w:spacing w:after="0" w:line="259" w:lineRule="auto"/>
        <w:rPr>
          <w:sz w:val="20"/>
          <w:szCs w:val="20"/>
          <w:color w:val="auto"/>
        </w:rPr>
      </w:pPr>
      <w:r>
        <w:rPr>
          <w:rFonts w:ascii="Arial" w:cs="Arial" w:eastAsia="Arial" w:hAnsi="Arial"/>
          <w:sz w:val="18"/>
          <w:szCs w:val="18"/>
          <w:color w:val="auto"/>
        </w:rPr>
        <w:t>In June 2009, the FASB issued the FASB Accounting Standards Codification (“Codification”). The Codification became the single source for all authoritative United States generally accepted accounting principles (“U.S. GAAP”) recognized by the FASB to be applied for financial statements issued for periods ending after September 15, 2009. The Codification does not change U.S. GAAP and did not have an effect on the Company’s financial condition or results of operations.</w:t>
      </w:r>
    </w:p>
    <w:p>
      <w:pPr>
        <w:spacing w:after="0" w:line="79" w:lineRule="exact"/>
        <w:rPr>
          <w:sz w:val="20"/>
          <w:szCs w:val="20"/>
          <w:color w:val="auto"/>
        </w:rPr>
      </w:pPr>
    </w:p>
    <w:p>
      <w:pPr>
        <w:jc w:val="both"/>
        <w:ind w:firstLine="290"/>
        <w:spacing w:after="0" w:line="264" w:lineRule="auto"/>
        <w:rPr>
          <w:sz w:val="20"/>
          <w:szCs w:val="20"/>
          <w:color w:val="auto"/>
        </w:rPr>
      </w:pPr>
      <w:r>
        <w:rPr>
          <w:rFonts w:ascii="Arial" w:cs="Arial" w:eastAsia="Arial" w:hAnsi="Arial"/>
          <w:sz w:val="18"/>
          <w:szCs w:val="18"/>
          <w:color w:val="auto"/>
        </w:rPr>
        <w:t>In July 2009, the FASB issued new guidance for all U.S. GAAP financial statements for public and private companies, which significantly amends the existing consolidation accounting model for variable interest entities, and includes extensive new disclosure requirements. This new guidance is effective for fiscal years (and interim periods in those fiscal years)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after November 15, 2009. The Company does not currently have a variable interest entity and does not expect this standard to have a material impact on its financial condition or results of operations.</w:t>
      </w:r>
    </w:p>
    <w:p>
      <w:pPr>
        <w:spacing w:after="0" w:line="62" w:lineRule="exact"/>
        <w:rPr>
          <w:sz w:val="20"/>
          <w:szCs w:val="20"/>
          <w:color w:val="auto"/>
        </w:rPr>
      </w:pPr>
    </w:p>
    <w:p>
      <w:pPr>
        <w:jc w:val="both"/>
        <w:ind w:firstLine="282"/>
        <w:spacing w:after="0" w:line="273" w:lineRule="auto"/>
        <w:rPr>
          <w:sz w:val="20"/>
          <w:szCs w:val="20"/>
          <w:color w:val="auto"/>
        </w:rPr>
      </w:pPr>
      <w:r>
        <w:rPr>
          <w:rFonts w:ascii="Arial" w:cs="Arial" w:eastAsia="Arial" w:hAnsi="Arial"/>
          <w:sz w:val="17"/>
          <w:szCs w:val="17"/>
          <w:color w:val="auto"/>
        </w:rPr>
        <w:t>In September 2009, the Emerging Issues Task Force issued new rules pertaining to the accounting for revenue arrangements with multiple deliverables. The new rules provide an alternative method for establishing fair value of a deliverable when vendor specific objective evidence or third party evidence cannot be determined. The rules provide for the determination of the best estimate of selling price for separate deliverables and allow the allocation of arrangement consideration using this relative selling price model. The guidance supersedes the prior multiple element revenue arrangement accounting rules that are currently used by the Company. The new guidance can be prospectively applied in fiscal years beginning on or after June 15, 2010 or can be earlier or retrospectively adopted. The Company is currently evaluating the impact of adopting the guidance.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Stock-Based Compensation</w:t>
      </w:r>
    </w:p>
    <w:p>
      <w:pPr>
        <w:spacing w:after="0" w:line="121" w:lineRule="exact"/>
        <w:rPr>
          <w:sz w:val="20"/>
          <w:szCs w:val="20"/>
          <w:color w:val="auto"/>
        </w:rPr>
      </w:pPr>
    </w:p>
    <w:p>
      <w:pPr>
        <w:jc w:val="both"/>
        <w:ind w:right="20" w:firstLine="269"/>
        <w:spacing w:after="0" w:line="277" w:lineRule="auto"/>
        <w:rPr>
          <w:sz w:val="20"/>
          <w:szCs w:val="20"/>
          <w:color w:val="auto"/>
        </w:rPr>
      </w:pPr>
      <w:r>
        <w:rPr>
          <w:rFonts w:ascii="Arial" w:cs="Arial" w:eastAsia="Arial" w:hAnsi="Arial"/>
          <w:sz w:val="18"/>
          <w:szCs w:val="18"/>
          <w:color w:val="auto"/>
        </w:rPr>
        <w:t>The Company accounts for its stock-based compensation at fair value. The following table summarizes employee stock-based compensation expense by financial statement line item for the three and nine months ended December 31, 2009 and 2008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538</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1,499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1,574</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1,501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8,055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4,977</w:t>
            </w: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3,522</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10,440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7,586</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48"/>
        <w:spacing w:after="0" w:line="289" w:lineRule="auto"/>
        <w:rPr>
          <w:sz w:val="20"/>
          <w:szCs w:val="20"/>
          <w:color w:val="auto"/>
        </w:rPr>
      </w:pPr>
      <w:r>
        <w:rPr>
          <w:rFonts w:ascii="Arial" w:cs="Arial" w:eastAsia="Arial" w:hAnsi="Arial"/>
          <w:sz w:val="16"/>
          <w:szCs w:val="16"/>
          <w:color w:val="auto"/>
        </w:rPr>
        <w:t>During the nine months ended December 31, 2009, the Company granted approximately 850,000 stock options and 205,000 shares of restricted stock and 10,000 restricted stock units to employees under the 2007 Stock Incentive Plan. The Company also granted 18,000 shares of restricted stock to directors under the 2007 Director Stock Option Plan. The fair value of the grants made during the nine months ended December 31, 2009 was $20.6 million. The restricted stock awards include approximately 92,000 shares of performance-based restricted stock, which will vest upon achievement of certain annual financial and operational performance measurements. The remaining awards of restricted stock vest upon the passage of time, generally in equal annual installments over three years. The 10,000 restricted stock units are performance-based and will vest upon achievement of certain operational performance measurements. For awards that vest upon the passage of time, expense is being recorded on a straight-line basis over the vesting period. At December 31, 2009, the Company determined that achievement of the performance measures for the shares of performance-based restricted stock is probable and as such, is recognizing the fair value of the performance-based restricted stock awards over the estimated performance period of each award.</w:t>
      </w:r>
    </w:p>
    <w:p>
      <w:pPr>
        <w:spacing w:after="0" w:line="59" w:lineRule="exact"/>
        <w:rPr>
          <w:sz w:val="20"/>
          <w:szCs w:val="20"/>
          <w:color w:val="auto"/>
        </w:rPr>
      </w:pPr>
    </w:p>
    <w:p>
      <w:pPr>
        <w:jc w:val="both"/>
        <w:ind w:firstLine="383"/>
        <w:spacing w:after="0" w:line="277" w:lineRule="auto"/>
        <w:rPr>
          <w:sz w:val="20"/>
          <w:szCs w:val="20"/>
          <w:color w:val="auto"/>
        </w:rPr>
      </w:pPr>
      <w:r>
        <w:rPr>
          <w:rFonts w:ascii="Arial" w:cs="Arial" w:eastAsia="Arial" w:hAnsi="Arial"/>
          <w:sz w:val="18"/>
          <w:szCs w:val="18"/>
          <w:color w:val="auto"/>
        </w:rPr>
        <w:t>The total unrecognized compensation cost for unvested employee stock-based compensation awards outstanding, net of estimated forfeitures, was $21.1 million at December 31, 2009. This expense will be recognized over a weighted-average expense period of 2.0 years.</w:t>
      </w:r>
    </w:p>
    <w:p>
      <w:pPr>
        <w:spacing w:after="0" w:line="62" w:lineRule="exact"/>
        <w:rPr>
          <w:sz w:val="20"/>
          <w:szCs w:val="20"/>
          <w:color w:val="auto"/>
        </w:rPr>
      </w:pPr>
    </w:p>
    <w:p>
      <w:pPr>
        <w:ind w:firstLine="287"/>
        <w:spacing w:after="0" w:line="277" w:lineRule="auto"/>
        <w:rPr>
          <w:sz w:val="20"/>
          <w:szCs w:val="20"/>
          <w:color w:val="auto"/>
        </w:rPr>
      </w:pPr>
      <w:r>
        <w:rPr>
          <w:rFonts w:ascii="Arial" w:cs="Arial" w:eastAsia="Arial" w:hAnsi="Arial"/>
          <w:sz w:val="18"/>
          <w:szCs w:val="18"/>
          <w:color w:val="auto"/>
        </w:rPr>
        <w:t>The assumptions used in the Black-Scholes valuation model for stock options granted during the three and nine months ended December 31, 2009 and 2008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50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250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w w:val="90"/>
              </w:rPr>
              <w:t>December 31,</w:t>
            </w:r>
          </w:p>
        </w:tc>
        <w:tc>
          <w:tcPr>
            <w:tcW w:w="5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5900" w:type="dxa"/>
            <w:vAlign w:val="bottom"/>
          </w:tcPr>
          <w:p>
            <w:pPr>
              <w:spacing w:after="0"/>
              <w:rPr>
                <w:sz w:val="12"/>
                <w:szCs w:val="12"/>
                <w:color w:val="auto"/>
              </w:rPr>
            </w:pPr>
          </w:p>
        </w:tc>
        <w:tc>
          <w:tcPr>
            <w:tcW w:w="8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82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68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71.2%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68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60.2%</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680" w:type="dxa"/>
            <w:vAlign w:val="bottom"/>
            <w:gridSpan w:val="3"/>
          </w:tcPr>
          <w:p>
            <w:pPr>
              <w:jc w:val="right"/>
              <w:ind w:right="99"/>
              <w:spacing w:after="0"/>
              <w:rPr>
                <w:sz w:val="20"/>
                <w:szCs w:val="20"/>
                <w:color w:val="auto"/>
              </w:rPr>
            </w:pPr>
            <w:r>
              <w:rPr>
                <w:rFonts w:ascii="Arial" w:cs="Arial" w:eastAsia="Arial" w:hAnsi="Arial"/>
                <w:sz w:val="18"/>
                <w:szCs w:val="18"/>
                <w:color w:val="auto"/>
              </w:rPr>
              <w:t>1.5%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680" w:type="dxa"/>
            <w:vAlign w:val="bottom"/>
            <w:gridSpan w:val="3"/>
          </w:tcPr>
          <w:p>
            <w:pPr>
              <w:jc w:val="right"/>
              <w:ind w:right="99"/>
              <w:spacing w:after="0"/>
              <w:rPr>
                <w:sz w:val="20"/>
                <w:szCs w:val="20"/>
                <w:color w:val="auto"/>
              </w:rPr>
            </w:pPr>
            <w:r>
              <w:rPr>
                <w:rFonts w:ascii="Arial" w:cs="Arial" w:eastAsia="Arial" w:hAnsi="Arial"/>
                <w:sz w:val="18"/>
                <w:szCs w:val="18"/>
                <w:color w:val="auto"/>
              </w:rPr>
              <w:t>3.1%</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4.8</w:t>
            </w:r>
          </w:p>
        </w:tc>
        <w:tc>
          <w:tcPr>
            <w:tcW w:w="1680" w:type="dxa"/>
            <w:vAlign w:val="bottom"/>
            <w:gridSpan w:val="3"/>
            <w:shd w:val="clear" w:color="auto" w:fill="CCEEFF"/>
          </w:tcPr>
          <w:p>
            <w:pPr>
              <w:jc w:val="right"/>
              <w:ind w:right="239"/>
              <w:spacing w:after="0"/>
              <w:rPr>
                <w:sz w:val="20"/>
                <w:szCs w:val="20"/>
                <w:color w:val="auto"/>
              </w:rPr>
            </w:pPr>
            <w:r>
              <w:rPr>
                <w:rFonts w:ascii="Arial" w:cs="Arial" w:eastAsia="Arial" w:hAnsi="Arial"/>
                <w:sz w:val="18"/>
                <w:szCs w:val="18"/>
                <w:color w:val="auto"/>
              </w:rPr>
              <w:t>4.9</w:t>
            </w:r>
          </w:p>
        </w:tc>
        <w:tc>
          <w:tcPr>
            <w:tcW w:w="13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4.8</w:t>
            </w:r>
          </w:p>
        </w:tc>
        <w:tc>
          <w:tcPr>
            <w:tcW w:w="1680" w:type="dxa"/>
            <w:vAlign w:val="bottom"/>
            <w:gridSpan w:val="3"/>
            <w:shd w:val="clear" w:color="auto" w:fill="CCEEFF"/>
          </w:tcPr>
          <w:p>
            <w:pPr>
              <w:jc w:val="right"/>
              <w:ind w:right="239"/>
              <w:spacing w:after="0"/>
              <w:rPr>
                <w:sz w:val="20"/>
                <w:szCs w:val="20"/>
                <w:color w:val="auto"/>
              </w:rPr>
            </w:pPr>
            <w:r>
              <w:rPr>
                <w:rFonts w:ascii="Arial" w:cs="Arial" w:eastAsia="Arial" w:hAnsi="Arial"/>
                <w:sz w:val="18"/>
                <w:szCs w:val="18"/>
                <w:color w:val="auto"/>
              </w:rPr>
              <w:t>4.9</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Dividend yield</w:t>
            </w: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219"/>
              <w:spacing w:after="0"/>
              <w:rPr>
                <w:sz w:val="20"/>
                <w:szCs w:val="20"/>
                <w:color w:val="auto"/>
              </w:rPr>
            </w:pPr>
            <w:r>
              <w:rPr>
                <w:rFonts w:ascii="Arial" w:cs="Arial" w:eastAsia="Arial" w:hAnsi="Arial"/>
                <w:sz w:val="18"/>
                <w:szCs w:val="18"/>
                <w:color w:val="auto"/>
              </w:rPr>
              <w:t>None</w:t>
            </w:r>
          </w:p>
        </w:tc>
        <w:tc>
          <w:tcPr>
            <w:tcW w:w="520" w:type="dxa"/>
            <w:vAlign w:val="bottom"/>
          </w:tcPr>
          <w:p>
            <w:pPr>
              <w:spacing w:after="0"/>
              <w:rPr>
                <w:sz w:val="20"/>
                <w:szCs w:val="20"/>
                <w:color w:val="auto"/>
              </w:rPr>
            </w:pPr>
          </w:p>
        </w:tc>
        <w:tc>
          <w:tcPr>
            <w:tcW w:w="820" w:type="dxa"/>
            <w:vAlign w:val="bottom"/>
          </w:tcPr>
          <w:p>
            <w:pPr>
              <w:jc w:val="right"/>
              <w:ind w:right="62"/>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ind w:right="219"/>
              <w:spacing w:after="0"/>
              <w:rPr>
                <w:sz w:val="20"/>
                <w:szCs w:val="20"/>
                <w:color w:val="auto"/>
              </w:rPr>
            </w:pPr>
            <w:r>
              <w:rPr>
                <w:rFonts w:ascii="Arial" w:cs="Arial" w:eastAsia="Arial" w:hAnsi="Arial"/>
                <w:sz w:val="18"/>
                <w:szCs w:val="18"/>
                <w:color w:val="auto"/>
              </w:rPr>
              <w:t>None</w:t>
            </w:r>
          </w:p>
        </w:tc>
      </w:tr>
    </w:tbl>
    <w:p>
      <w:pPr>
        <w:spacing w:after="0" w:line="79"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7"/>
          <w:szCs w:val="17"/>
          <w:color w:val="auto"/>
        </w:rPr>
        <w:t>The expected volatility was estimated based on an equal weighting of the historical volatility of the Company’s common stock and the implied volatility of the Company’s traded options. The expected life was estimated based on an analysis of the Company’s historical experience of exercise, cancellation, and expiration patterns. The risk-free interest rate is based on five-year U.S. Treasury rates. The stock-based compensation expense recognized in the unaudited condensed consolidated statements of operations is based on awards that ultimately are expected to vest; therefore, the amount of expense has been reduced for estimated forfeitures. Forfeitures are estimated at the time of grant and revised, if necessary, in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periods if actual forfeitures differ from those estimates. Forfeitures were estimated based on historical experience. This analysis is re-evaluated periodically and the forfeiture rate is adjusted as necessary.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Computation of Net Income (Loss) per Common Share</w:t>
      </w:r>
    </w:p>
    <w:p>
      <w:pPr>
        <w:spacing w:after="0" w:line="121" w:lineRule="exact"/>
        <w:rPr>
          <w:sz w:val="20"/>
          <w:szCs w:val="20"/>
          <w:color w:val="auto"/>
        </w:rPr>
      </w:pPr>
    </w:p>
    <w:p>
      <w:pPr>
        <w:jc w:val="both"/>
        <w:ind w:firstLine="280"/>
        <w:spacing w:after="0" w:line="255" w:lineRule="auto"/>
        <w:rPr>
          <w:sz w:val="20"/>
          <w:szCs w:val="20"/>
          <w:color w:val="auto"/>
        </w:rPr>
      </w:pPr>
      <w:r>
        <w:rPr>
          <w:rFonts w:ascii="Arial" w:cs="Arial" w:eastAsia="Arial" w:hAnsi="Arial"/>
          <w:sz w:val="18"/>
          <w:szCs w:val="18"/>
          <w:color w:val="auto"/>
        </w:rPr>
        <w:t>Basic earnings per share (“EPS”) is computed by dividing net income (loss) by the weighted-average number of common shares outstanding during the period. Diluted EPS is computed by dividing the net income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three and nine months ended December 31, 2009 and 2008, common equivalent shares of 0.1 million shares and 0.9 million shares, respectively, and 3.3 million shares and 3.3 million shares, respectively, were not included in the calculation of diluted EPS as they were considered anti-dilutive.</w:t>
      </w:r>
    </w:p>
    <w:p>
      <w:pPr>
        <w:spacing w:after="0" w:line="85"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The following table reconciles the numerators and denominators of the earnings per share calculation for the three and nine months ended December 31, 2009 and 2008 (in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5,179</w:t>
            </w:r>
          </w:p>
        </w:tc>
        <w:tc>
          <w:tcPr>
            <w:tcW w:w="3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(7,772)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11,311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(17,942)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44,665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43,653</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44,276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subject to repurchase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40" w:type="dxa"/>
            <w:vAlign w:val="bottom"/>
            <w:gridSpan w:val="2"/>
          </w:tcPr>
          <w:p>
            <w:pPr>
              <w:spacing w:after="0"/>
              <w:rPr>
                <w:sz w:val="20"/>
                <w:szCs w:val="20"/>
                <w:color w:val="auto"/>
              </w:rPr>
            </w:pPr>
            <w:r>
              <w:rPr>
                <w:rFonts w:ascii="Arial" w:cs="Arial" w:eastAsia="Arial" w:hAnsi="Arial"/>
                <w:sz w:val="18"/>
                <w:szCs w:val="18"/>
                <w:color w:val="auto"/>
              </w:rPr>
              <w:t>Shares used in per-share calculation — basic</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44,623</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43,024</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44,222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Dilutive effect of employee equity incentive plans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40" w:type="dxa"/>
            <w:vAlign w:val="bottom"/>
            <w:gridSpan w:val="2"/>
          </w:tcPr>
          <w:p>
            <w:pPr>
              <w:spacing w:after="0"/>
              <w:rPr>
                <w:sz w:val="20"/>
                <w:szCs w:val="20"/>
                <w:color w:val="auto"/>
              </w:rPr>
            </w:pPr>
            <w:r>
              <w:rPr>
                <w:rFonts w:ascii="Arial" w:cs="Arial" w:eastAsia="Arial" w:hAnsi="Arial"/>
                <w:sz w:val="18"/>
                <w:szCs w:val="18"/>
                <w:color w:val="auto"/>
              </w:rPr>
              <w:t>Shares used in per-share calculation — diluted</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45,566</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43,024</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45,072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40" w:type="dxa"/>
            <w:vAlign w:val="bottom"/>
            <w:gridSpan w:val="2"/>
          </w:tcPr>
          <w:p>
            <w:pPr>
              <w:spacing w:after="0"/>
              <w:rPr>
                <w:sz w:val="20"/>
                <w:szCs w:val="20"/>
                <w:color w:val="auto"/>
              </w:rPr>
            </w:pPr>
            <w:r>
              <w:rPr>
                <w:rFonts w:ascii="Arial" w:cs="Arial" w:eastAsia="Arial" w:hAnsi="Arial"/>
                <w:sz w:val="18"/>
                <w:szCs w:val="18"/>
                <w:color w:val="auto"/>
              </w:rPr>
              <w:t>Net income (loss) per share —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0.11</w:t>
            </w:r>
          </w:p>
        </w:tc>
        <w:tc>
          <w:tcPr>
            <w:tcW w:w="3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(0.18)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28"/>
        <w:spacing w:after="0" w:line="257" w:lineRule="auto"/>
        <w:rPr>
          <w:sz w:val="20"/>
          <w:szCs w:val="20"/>
          <w:color w:val="auto"/>
        </w:rPr>
      </w:pPr>
      <w:r>
        <w:rPr>
          <w:rFonts w:ascii="Arial" w:cs="Arial" w:eastAsia="Arial" w:hAnsi="Arial"/>
          <w:sz w:val="18"/>
          <w:szCs w:val="18"/>
          <w:color w:val="auto"/>
        </w:rPr>
        <w:t>On April 1, 2009, the Company began determining whether instruments granted in share-based payment transactions are participating securities. Under the applicable standard, the unvested restricted stock awards that contain non-forfeitable rights to receive dividends or dividend equivalents are considered participating securities, and therefore, are included in the computation of earnings per share pursuant to the two class method. Application of the standard had an insignificant effect on shares outstanding. This standard required retrospective application. Net income allocable to participating securities was immaterial for all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market participants on the measurement date. The accounting standard established a fair value hierarchy which requires an entity to maximize the use of observable inputs, where available. This hierarchy prioritizes the inputs into three broad levels as follows: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Hierarchy</w:t>
      </w:r>
    </w:p>
    <w:p>
      <w:pPr>
        <w:spacing w:after="0" w:line="221" w:lineRule="exact"/>
        <w:rPr>
          <w:sz w:val="20"/>
          <w:szCs w:val="20"/>
          <w:color w:val="auto"/>
        </w:rPr>
      </w:pPr>
    </w:p>
    <w:p>
      <w:pPr>
        <w:ind w:left="1460" w:hanging="1080"/>
        <w:spacing w:after="0" w:line="261" w:lineRule="auto"/>
        <w:tabs>
          <w:tab w:leader="none" w:pos="144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Inputs are unadjusted quoted prices in active markets for identical assets or liabilities that the Company has the ability to access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date.</w:t>
      </w:r>
    </w:p>
    <w:p>
      <w:pPr>
        <w:ind w:left="580"/>
        <w:spacing w:after="0"/>
        <w:tabs>
          <w:tab w:leader="none" w:pos="144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Inputs include quoted prices for similar assets and liabilities in active markets, quoted prices for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left="1660"/>
        <w:spacing w:after="0" w:line="256" w:lineRule="auto"/>
        <w:rPr>
          <w:sz w:val="20"/>
          <w:szCs w:val="20"/>
          <w:color w:val="auto"/>
        </w:rPr>
      </w:pPr>
      <w:r>
        <w:rPr>
          <w:rFonts w:ascii="Arial" w:cs="Arial" w:eastAsia="Arial" w:hAnsi="Arial"/>
          <w:sz w:val="18"/>
          <w:szCs w:val="18"/>
          <w:color w:val="auto"/>
        </w:rPr>
        <w:t>identical or similar assets or 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ind w:left="1460" w:hanging="1080"/>
        <w:spacing w:after="0" w:line="261" w:lineRule="auto"/>
        <w:tabs>
          <w:tab w:leader="none" w:pos="144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Unobservable inputs that reflect the Company’s assumptions that market participants would use in pricing the asset or liability.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develops these inputs based on the best information available, including its own data.</w:t>
      </w:r>
    </w:p>
    <w:p>
      <w:pPr>
        <w:spacing w:after="0" w:line="76" w:lineRule="exact"/>
        <w:rPr>
          <w:sz w:val="20"/>
          <w:szCs w:val="20"/>
          <w:color w:val="auto"/>
        </w:rPr>
      </w:pPr>
    </w:p>
    <w:p>
      <w:pPr>
        <w:jc w:val="both"/>
        <w:ind w:right="20" w:firstLine="341"/>
        <w:spacing w:after="0" w:line="277"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provides the assets carried at fair value, measured as of December 31, 2009 and March 31, 2009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44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Using Significant</w:t>
            </w:r>
          </w:p>
        </w:tc>
        <w:tc>
          <w:tcPr>
            <w:tcW w:w="4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Using Significant</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2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Carrying</w:t>
            </w:r>
          </w:p>
        </w:tc>
        <w:tc>
          <w:tcPr>
            <w:tcW w:w="4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center"/>
              <w:ind w:right="394"/>
              <w:spacing w:after="0" w:line="149" w:lineRule="exact"/>
              <w:rPr>
                <w:sz w:val="20"/>
                <w:szCs w:val="20"/>
                <w:color w:val="auto"/>
              </w:rPr>
            </w:pPr>
            <w:r>
              <w:rPr>
                <w:rFonts w:ascii="Arial" w:cs="Arial" w:eastAsia="Arial" w:hAnsi="Arial"/>
                <w:sz w:val="14"/>
                <w:szCs w:val="14"/>
                <w:b w:val="1"/>
                <w:bCs w:val="1"/>
                <w:color w:val="auto"/>
              </w:rPr>
              <w:t>Other</w:t>
            </w:r>
          </w:p>
        </w:tc>
        <w:tc>
          <w:tcPr>
            <w:tcW w:w="4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4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2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1)</w:t>
            </w:r>
          </w:p>
        </w:tc>
        <w:tc>
          <w:tcPr>
            <w:tcW w:w="440" w:type="dxa"/>
            <w:vAlign w:val="bottom"/>
          </w:tcPr>
          <w:p>
            <w:pPr>
              <w:spacing w:after="0"/>
              <w:rPr>
                <w:sz w:val="14"/>
                <w:szCs w:val="1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2)</w:t>
            </w:r>
          </w:p>
        </w:tc>
        <w:tc>
          <w:tcPr>
            <w:tcW w:w="440" w:type="dxa"/>
            <w:vAlign w:val="bottom"/>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w:t>
            </w: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Cash equivalents</w:t>
            </w:r>
          </w:p>
        </w:tc>
        <w:tc>
          <w:tcPr>
            <w:tcW w:w="1280" w:type="dxa"/>
            <w:vAlign w:val="bottom"/>
          </w:tcPr>
          <w:p>
            <w:pPr>
              <w:jc w:val="right"/>
              <w:ind w:right="316"/>
              <w:spacing w:after="0"/>
              <w:rPr>
                <w:sz w:val="20"/>
                <w:szCs w:val="20"/>
                <w:color w:val="auto"/>
              </w:rPr>
            </w:pPr>
            <w:r>
              <w:rPr>
                <w:rFonts w:ascii="Arial" w:cs="Arial" w:eastAsia="Arial" w:hAnsi="Arial"/>
                <w:sz w:val="18"/>
                <w:szCs w:val="18"/>
                <w:color w:val="auto"/>
              </w:rPr>
              <w:t>$29,141</w:t>
            </w:r>
          </w:p>
        </w:tc>
        <w:tc>
          <w:tcPr>
            <w:tcW w:w="1740" w:type="dxa"/>
            <w:vAlign w:val="bottom"/>
            <w:gridSpan w:val="2"/>
          </w:tcPr>
          <w:p>
            <w:pPr>
              <w:jc w:val="right"/>
              <w:ind w:right="321"/>
              <w:spacing w:after="0"/>
              <w:rPr>
                <w:sz w:val="20"/>
                <w:szCs w:val="20"/>
                <w:color w:val="auto"/>
              </w:rPr>
            </w:pPr>
            <w:r>
              <w:rPr>
                <w:rFonts w:ascii="Arial" w:cs="Arial" w:eastAsia="Arial" w:hAnsi="Arial"/>
                <w:sz w:val="18"/>
                <w:szCs w:val="18"/>
                <w:color w:val="auto"/>
              </w:rPr>
              <w:t>$29,141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center"/>
              <w:ind w:right="2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66,594</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87"/>
              </w:rPr>
              <w:t>66,594</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March 31, 2009:</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$30,483</w:t>
            </w:r>
          </w:p>
        </w:tc>
        <w:tc>
          <w:tcPr>
            <w:tcW w:w="17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$30,483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80" w:type="dxa"/>
            <w:vAlign w:val="bottom"/>
          </w:tcPr>
          <w:p>
            <w:pPr>
              <w:jc w:val="right"/>
              <w:ind w:right="316"/>
              <w:spacing w:after="0"/>
              <w:rPr>
                <w:sz w:val="20"/>
                <w:szCs w:val="20"/>
                <w:color w:val="auto"/>
              </w:rPr>
            </w:pPr>
            <w:r>
              <w:rPr>
                <w:rFonts w:ascii="Arial" w:cs="Arial" w:eastAsia="Arial" w:hAnsi="Arial"/>
                <w:sz w:val="18"/>
                <w:szCs w:val="18"/>
                <w:color w:val="auto"/>
              </w:rPr>
              <w:t>39,255</w:t>
            </w:r>
          </w:p>
        </w:tc>
        <w:tc>
          <w:tcPr>
            <w:tcW w:w="440" w:type="dxa"/>
            <w:vAlign w:val="bottom"/>
          </w:tcPr>
          <w:p>
            <w:pPr>
              <w:spacing w:after="0"/>
              <w:rPr>
                <w:sz w:val="20"/>
                <w:szCs w:val="20"/>
                <w:color w:val="auto"/>
              </w:rPr>
            </w:pPr>
          </w:p>
        </w:tc>
        <w:tc>
          <w:tcPr>
            <w:tcW w:w="1300" w:type="dxa"/>
            <w:vAlign w:val="bottom"/>
          </w:tcPr>
          <w:p>
            <w:pPr>
              <w:jc w:val="right"/>
              <w:ind w:right="32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4"/>
              <w:spacing w:after="0"/>
              <w:rPr>
                <w:sz w:val="20"/>
                <w:szCs w:val="20"/>
                <w:color w:val="auto"/>
              </w:rPr>
            </w:pPr>
            <w:r>
              <w:rPr>
                <w:rFonts w:ascii="Arial" w:cs="Arial" w:eastAsia="Arial" w:hAnsi="Arial"/>
                <w:sz w:val="18"/>
                <w:szCs w:val="18"/>
                <w:color w:val="auto"/>
                <w:w w:val="87"/>
              </w:rPr>
              <w:t>39,255</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center"/>
              <w:ind w:right="2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uses foreign currency derivatives. The fair value of the Company’s foreign currency derivatives is immaterial to all periods presented.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Techniques</w:t>
      </w:r>
    </w:p>
    <w:p>
      <w:pPr>
        <w:spacing w:after="0" w:line="117" w:lineRule="exact"/>
        <w:rPr>
          <w:sz w:val="20"/>
          <w:szCs w:val="20"/>
          <w:color w:val="auto"/>
        </w:rPr>
      </w:pPr>
    </w:p>
    <w:p>
      <w:pPr>
        <w:jc w:val="both"/>
        <w:ind w:firstLine="305"/>
        <w:spacing w:after="0" w:line="264" w:lineRule="auto"/>
        <w:rPr>
          <w:sz w:val="20"/>
          <w:szCs w:val="20"/>
          <w:color w:val="auto"/>
        </w:rPr>
      </w:pPr>
      <w:r>
        <w:rPr>
          <w:rFonts w:ascii="Arial" w:cs="Arial" w:eastAsia="Arial" w:hAnsi="Arial"/>
          <w:sz w:val="18"/>
          <w:szCs w:val="18"/>
          <w:color w:val="auto"/>
        </w:rPr>
        <w:t>Cash equivalents consist of highly liquid money market instruments with maturities of three months or less that are regarded as high quality, low risk investments, are measured using such inputs as quoted prices and inputs that are derived principally from or corroborated by observable market data by correlation or other means, and are classified within Level 1 of the valuation hierarchy.</w:t>
      </w:r>
    </w:p>
    <w:p>
      <w:pPr>
        <w:spacing w:after="0" w:line="73"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The Company’s marketable securities are classified as available-for-sale securities and, accordingly, are recorded at fair value. At December 31, 2009, the Company primarily held U.S. government backed commercial paper and European sovereign bonds and at March 31, 2009, the Company primarily held U.S. government backed commercial paper. All commercial paper is rated A-1 or higher. The difference between amortized cost and fair value is included in stockholders’ equity. Marketable securities are measured using such inputs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w:t>
      </w:r>
    </w:p>
    <w:p>
      <w:pPr>
        <w:spacing w:after="0" w:line="81" w:lineRule="exact"/>
        <w:rPr>
          <w:sz w:val="20"/>
          <w:szCs w:val="20"/>
          <w:color w:val="auto"/>
        </w:rPr>
      </w:pPr>
    </w:p>
    <w:p>
      <w:pPr>
        <w:jc w:val="both"/>
        <w:ind w:firstLine="363"/>
        <w:spacing w:after="0" w:line="257" w:lineRule="auto"/>
        <w:rPr>
          <w:sz w:val="20"/>
          <w:szCs w:val="20"/>
          <w:color w:val="auto"/>
        </w:rPr>
      </w:pPr>
      <w:r>
        <w:rPr>
          <w:rFonts w:ascii="Arial" w:cs="Arial" w:eastAsia="Arial" w:hAnsi="Arial"/>
          <w:sz w:val="18"/>
          <w:szCs w:val="18"/>
          <w:color w:val="auto"/>
        </w:rPr>
        <w:t>Effective April 1, 2009, the Company implemented a newly issued accounting standard for fair value measurements of all nonfinancial assets and nonfinancial liabilities not recognized or disclosed at fair value in the financial statements on a non-recurring basis. Adoption of the new accounting standard for the Company’s nonfinancial assets and nonfinancial liabilities that are measured at fair value on a non-recurring basis did not impact its financial position or results of operations; however, could have an impact in future periods. The Company may have additional disclosure requirements in the event of a completed acquisition or if an impairment of these occurs in a future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121" w:lineRule="exact"/>
        <w:rPr>
          <w:sz w:val="20"/>
          <w:szCs w:val="20"/>
          <w:color w:val="auto"/>
        </w:rPr>
      </w:pPr>
    </w:p>
    <w:p>
      <w:pPr>
        <w:jc w:val="both"/>
        <w:ind w:firstLine="284"/>
        <w:spacing w:after="0" w:line="264" w:lineRule="auto"/>
        <w:rPr>
          <w:sz w:val="20"/>
          <w:szCs w:val="20"/>
          <w:color w:val="auto"/>
        </w:rPr>
      </w:pPr>
      <w:r>
        <w:rPr>
          <w:rFonts w:ascii="Arial" w:cs="Arial" w:eastAsia="Arial" w:hAnsi="Arial"/>
          <w:sz w:val="18"/>
          <w:szCs w:val="18"/>
          <w:color w:val="auto"/>
        </w:rPr>
        <w:t>On April 1, 2009, the Company adopted a newly issued accounting standard regarding disclosure of derivative instruments and hedging activities. This statement improves transparency in financial reporting by requiring enhanced disclosures of an entity’s derivative instruments and hedging activities and their effects on the entity’s financial position, financial performance and cash flows.</w:t>
      </w:r>
    </w:p>
    <w:p>
      <w:pPr>
        <w:spacing w:after="0" w:line="73" w:lineRule="exact"/>
        <w:rPr>
          <w:sz w:val="20"/>
          <w:szCs w:val="20"/>
          <w:color w:val="auto"/>
        </w:rPr>
      </w:pPr>
    </w:p>
    <w:p>
      <w:pPr>
        <w:jc w:val="both"/>
        <w:ind w:firstLine="292"/>
        <w:spacing w:after="0" w:line="264" w:lineRule="auto"/>
        <w:rPr>
          <w:sz w:val="20"/>
          <w:szCs w:val="20"/>
          <w:color w:val="auto"/>
        </w:rPr>
      </w:pPr>
      <w:r>
        <w:rPr>
          <w:rFonts w:ascii="Arial" w:cs="Arial" w:eastAsia="Arial" w:hAnsi="Arial"/>
          <w:sz w:val="18"/>
          <w:szCs w:val="18"/>
          <w:color w:val="auto"/>
        </w:rPr>
        <w:t>The Company’s foreign currency risk management strategy is principally designed to mitigate the potential financial impact of changes in the value of transactions and balances denominated in foreign currency, resulting from changes in foreign currency exchange rates. The Company’s foreign currency hedging program uses both forward contracts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currency options to manage the foreign currency exposures that exist as part of its ongoing business operations. The contracts primarily are denominated in the Euro and Chinese renminbi (“CNY”) and have maturities of less than six months. On December 31, 2009, the Company had a forward contract outstanding to hedge the Company’s wholly-owned Austrian subsidiary, AMSC Windtec GmbH (“Windtec”) USD exposure, with a nominal value of $25.0 million, which expired on January 29, 2010. The forward contract sold US dollars and bought Euros at $1.4423. The Company also had two forward contracts outstanding to hedge receivables exposure at the Company’s wholly-owned China subsidiary, Suzhou AMSC Superconductor Co., Ltd., selling CNY and buying USD at $6.797 and $6.772, respectively, with nominal values of $15.0 million each, which expire on March 31, 2010 and April 30, 2010, respectively.</w:t>
      </w:r>
    </w:p>
    <w:p>
      <w:pPr>
        <w:spacing w:after="0" w:line="81" w:lineRule="exact"/>
        <w:rPr>
          <w:sz w:val="20"/>
          <w:szCs w:val="20"/>
          <w:color w:val="auto"/>
        </w:rPr>
      </w:pPr>
    </w:p>
    <w:p>
      <w:pPr>
        <w:jc w:val="both"/>
        <w:ind w:right="20" w:firstLine="225"/>
        <w:spacing w:after="0" w:line="308" w:lineRule="auto"/>
        <w:rPr>
          <w:sz w:val="20"/>
          <w:szCs w:val="20"/>
          <w:color w:val="auto"/>
        </w:rPr>
      </w:pPr>
      <w:r>
        <w:rPr>
          <w:rFonts w:ascii="Arial" w:cs="Arial" w:eastAsia="Arial" w:hAnsi="Arial"/>
          <w:sz w:val="17"/>
          <w:szCs w:val="17"/>
          <w:color w:val="auto"/>
        </w:rPr>
        <w:t>Generally, the Company does not designate forward contracts or currency option contracts as hedges for accounting purposes, and changes in the fair value of these instruments are recognized immediately in earnings. Gains and losses on these contracts are included in other expense, net.</w:t>
      </w:r>
    </w:p>
    <w:p>
      <w:pPr>
        <w:spacing w:after="0" w:line="38" w:lineRule="exact"/>
        <w:rPr>
          <w:sz w:val="20"/>
          <w:szCs w:val="20"/>
          <w:color w:val="auto"/>
        </w:rPr>
      </w:pPr>
    </w:p>
    <w:p>
      <w:pPr>
        <w:jc w:val="both"/>
        <w:ind w:firstLine="298"/>
        <w:spacing w:after="0" w:line="308" w:lineRule="auto"/>
        <w:rPr>
          <w:sz w:val="20"/>
          <w:szCs w:val="20"/>
          <w:color w:val="auto"/>
        </w:rPr>
      </w:pPr>
      <w:r>
        <w:rPr>
          <w:rFonts w:ascii="Arial" w:cs="Arial" w:eastAsia="Arial" w:hAnsi="Arial"/>
          <w:sz w:val="17"/>
          <w:szCs w:val="17"/>
          <w:color w:val="auto"/>
        </w:rPr>
        <w:t>Net realized and unrealized losses on forward contracts and option contracts included in other expense, net, excluding the underlying foreign currency exposure being hedged, were $0.6 million and $0.4 million for the three and nine months ended December 31, 2009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inventory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4880" w:type="dxa"/>
            <w:vAlign w:val="bottom"/>
            <w:gridSpan w:val="4"/>
          </w:tcPr>
          <w:p>
            <w:pPr>
              <w:ind w:left="37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4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880" w:type="dxa"/>
            <w:vAlign w:val="bottom"/>
            <w:gridSpan w:val="2"/>
            <w:shd w:val="clear" w:color="auto" w:fill="CCEEFF"/>
          </w:tcPr>
          <w:p>
            <w:pPr>
              <w:ind w:left="37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13,868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16,098</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Work-in-progress</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7,788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6,522</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10,966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8,150</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Deferred program costs</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3,478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4,359</w:t>
            </w:r>
          </w:p>
        </w:tc>
      </w:tr>
      <w:tr>
        <w:trPr>
          <w:trHeight w:val="27"/>
        </w:trPr>
        <w:tc>
          <w:tcPr>
            <w:tcW w:w="54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inventory</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36,100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35,129</w:t>
            </w:r>
          </w:p>
        </w:tc>
      </w:tr>
      <w:tr>
        <w:trPr>
          <w:trHeight w:val="20"/>
        </w:trPr>
        <w:tc>
          <w:tcPr>
            <w:tcW w:w="54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15"/>
        <w:spacing w:after="0" w:line="277" w:lineRule="auto"/>
        <w:rPr>
          <w:sz w:val="20"/>
          <w:szCs w:val="20"/>
          <w:color w:val="auto"/>
        </w:rPr>
      </w:pPr>
      <w:r>
        <w:rPr>
          <w:rFonts w:ascii="Arial" w:cs="Arial" w:eastAsia="Arial" w:hAnsi="Arial"/>
          <w:sz w:val="18"/>
          <w:szCs w:val="18"/>
          <w:color w:val="auto"/>
        </w:rPr>
        <w:t>Finished goods inventory of $11.0 million as of December 31, 2009 includes $1.0 million which represents costs of product shipped to customers on contracts for which revenue was deferred until final customer acceptance.</w:t>
      </w:r>
    </w:p>
    <w:p>
      <w:pPr>
        <w:spacing w:after="0" w:line="62" w:lineRule="exact"/>
        <w:rPr>
          <w:sz w:val="20"/>
          <w:szCs w:val="20"/>
          <w:color w:val="auto"/>
        </w:rPr>
      </w:pPr>
    </w:p>
    <w:p>
      <w:pPr>
        <w:jc w:val="both"/>
        <w:ind w:firstLine="234"/>
        <w:spacing w:after="0" w:line="279" w:lineRule="auto"/>
        <w:rPr>
          <w:sz w:val="20"/>
          <w:szCs w:val="20"/>
          <w:color w:val="auto"/>
        </w:rPr>
      </w:pPr>
      <w:r>
        <w:rPr>
          <w:rFonts w:ascii="Arial" w:cs="Arial" w:eastAsia="Arial" w:hAnsi="Arial"/>
          <w:sz w:val="17"/>
          <w:szCs w:val="17"/>
          <w:color w:val="auto"/>
        </w:rPr>
        <w:t>Deferred program costs of $3.5 million as of December 31, 2009 and $4.4 million as of March 31, 2009 primarily represent costs incurred on wind turbine development programs where the Company needs to achieve certain milestones or complete development programs before revenue and costs will be recognized. Deferred program costs of $2.6 million as of March 31, 2009 were incurred on a long-term turnkey D-VAR</w:t>
      </w:r>
      <w:r>
        <w:rPr>
          <w:rFonts w:ascii="Arial" w:cs="Arial" w:eastAsia="Arial" w:hAnsi="Arial"/>
          <w:sz w:val="14"/>
          <w:szCs w:val="14"/>
          <w:color w:val="auto"/>
        </w:rPr>
        <w:t>®</w:t>
      </w:r>
      <w:r>
        <w:rPr>
          <w:rFonts w:ascii="Arial" w:cs="Arial" w:eastAsia="Arial" w:hAnsi="Arial"/>
          <w:sz w:val="17"/>
          <w:szCs w:val="17"/>
          <w:color w:val="auto"/>
        </w:rPr>
        <w:t xml:space="preserve"> system project that were subsequently recorded in cost of revenue in the three months ended June 30, 2009 when the related revenue was recognized.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Product Warranty</w:t>
      </w:r>
    </w:p>
    <w:p>
      <w:pPr>
        <w:spacing w:after="0" w:line="121" w:lineRule="exact"/>
        <w:rPr>
          <w:sz w:val="20"/>
          <w:szCs w:val="20"/>
          <w:color w:val="auto"/>
        </w:rPr>
      </w:pPr>
    </w:p>
    <w:p>
      <w:pPr>
        <w:jc w:val="both"/>
        <w:ind w:firstLine="344"/>
        <w:spacing w:after="0" w:line="277" w:lineRule="auto"/>
        <w:rPr>
          <w:sz w:val="20"/>
          <w:szCs w:val="20"/>
          <w:color w:val="auto"/>
        </w:rPr>
      </w:pPr>
      <w:r>
        <w:rPr>
          <w:rFonts w:ascii="Arial" w:cs="Arial" w:eastAsia="Arial" w:hAnsi="Arial"/>
          <w:sz w:val="18"/>
          <w:szCs w:val="18"/>
          <w:color w:val="auto"/>
        </w:rPr>
        <w:t>The Company generally provides a one to two year warranty on its products, commencing upon installation. A provision is recorded upon revenue recognition to “Cost of revenues” for estimated warranty expense based on historical experience.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Product warranty activity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5,497</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Accruals for warranties during the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2,238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1,269</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4,955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3,706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Settlements and adjustments during the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(1,069)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(2,838)</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jc w:val="both"/>
        <w:ind w:firstLine="238"/>
        <w:spacing w:after="0" w:line="279" w:lineRule="auto"/>
        <w:rPr>
          <w:sz w:val="20"/>
          <w:szCs w:val="20"/>
          <w:color w:val="auto"/>
        </w:rPr>
      </w:pPr>
      <w:r>
        <w:rPr>
          <w:rFonts w:ascii="Arial" w:cs="Arial" w:eastAsia="Arial" w:hAnsi="Arial"/>
          <w:sz w:val="17"/>
          <w:szCs w:val="17"/>
          <w:color w:val="auto"/>
        </w:rPr>
        <w:t>The Company recorded income tax expense of $5.6 and $13.8 million for the three and nine months ended December 31, 2009, respectively, and $2.3 and $5.6 million for the three and nine months ended December 31, 2008, respectively, related primarily to income generated in foreign jurisdictions. The Company has provided a valuation allowance against all deferred tax assets in the U.S. as it is more likely than not that its deferred tax assets are not currently realizable due to the net operating losses incurred by the Company in the U.S. since its inception.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jc w:val="both"/>
        <w:ind w:firstLine="233"/>
        <w:spacing w:after="0" w:line="276" w:lineRule="auto"/>
        <w:rPr>
          <w:sz w:val="20"/>
          <w:szCs w:val="20"/>
          <w:color w:val="auto"/>
        </w:rPr>
      </w:pPr>
      <w:r>
        <w:rPr>
          <w:rFonts w:ascii="Arial" w:cs="Arial" w:eastAsia="Arial" w:hAnsi="Arial"/>
          <w:sz w:val="17"/>
          <w:szCs w:val="17"/>
          <w:color w:val="auto"/>
        </w:rPr>
        <w:t>In April 2005, the Company issued to TM Capital (which subsequently assigned it to Provident Premier Master Fund, Ltd. (“Provident”)) a common stock purchase warrant for 200,000 shares of the Company’s common stock, exercisable for a five-year term, with an exercise price of $9.50 per share (the “Warrant”). In August 2008, Provident utilized the cashless exercise provision and exercised the entire Warrant in exchange for 148,387 shares of the Company’s common stock. The Warrant was re-valued at $4.3 million at the time of exercise, resulting in a charge of $1.3 million for the nine months ended December 31, 2008, (reported in Other income (expense) in the Unaudited Condensed Consolidated Statements of Operations).</w:t>
      </w:r>
    </w:p>
    <w:p>
      <w:pPr>
        <w:spacing w:after="0" w:line="64"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8"/>
          <w:szCs w:val="18"/>
          <w:color w:val="auto"/>
        </w:rPr>
        <w:t>From time to time, the Company enters into long-term construction contracts and other business arrangements with customers that require the Company to obtain bank guarantees or performance bonds. The Company may be required to deposit an amount equivalent to some or all of the face amount of the performance bonds into an escrow account until the termination of the bond. When the performance conditions are met, amounts deposited as collateral for the performance bonds are returned to the Company.</w:t>
      </w:r>
    </w:p>
    <w:p>
      <w:pPr>
        <w:spacing w:after="0" w:line="79" w:lineRule="exact"/>
        <w:rPr>
          <w:sz w:val="20"/>
          <w:szCs w:val="20"/>
          <w:color w:val="auto"/>
        </w:rPr>
      </w:pPr>
    </w:p>
    <w:p>
      <w:pPr>
        <w:jc w:val="both"/>
        <w:ind w:firstLine="240"/>
        <w:spacing w:after="0" w:line="264" w:lineRule="auto"/>
        <w:rPr>
          <w:sz w:val="20"/>
          <w:szCs w:val="20"/>
          <w:color w:val="auto"/>
        </w:rPr>
      </w:pPr>
      <w:r>
        <w:rPr>
          <w:rFonts w:ascii="Arial" w:cs="Arial" w:eastAsia="Arial" w:hAnsi="Arial"/>
          <w:sz w:val="18"/>
          <w:szCs w:val="18"/>
          <w:color w:val="auto"/>
        </w:rPr>
        <w:t>On June 26, 2008, the Company entered into a performance bond for CNY 1.1 million (approximately $0.2 million) with a Chinese customer to guarantee supply of core components and software, which expires June 30, 2012. The performance bond was issued utilizing a Bank of China CNY 18.9 million (approximately $2.8 million) unsecured line of credit, which is available until June 30, 2012.</w:t>
      </w:r>
    </w:p>
    <w:p>
      <w:pPr>
        <w:spacing w:after="0" w:line="73"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As of December 31, 2009, the Company had outstanding performance bonds issued on behalf of Windtec, for €0.9 million (approximately $1.4 million) in connection with three contracts to provide power electronics for three customers. The first performance bond for €0.1 million (approximately $0.1 million) expires on February 6, 2010, the second performance bond for €0.3 million (approximately $0.4 million) will expire on September 30, 2010 and the third performance bond for €0.6 million (approximately $0.8 million) will expire on December 31, 2010. In the event that the payment is made in accordance with the requirements of any of these performance bonds, the Company would record the payment as an offset to revenue. The performance bonds are secured with restricted cash, included in current assets.</w:t>
      </w:r>
    </w:p>
    <w:p>
      <w:pPr>
        <w:spacing w:after="0" w:line="85" w:lineRule="exact"/>
        <w:rPr>
          <w:sz w:val="20"/>
          <w:szCs w:val="20"/>
          <w:color w:val="auto"/>
        </w:rPr>
      </w:pPr>
    </w:p>
    <w:p>
      <w:pPr>
        <w:jc w:val="both"/>
        <w:ind w:firstLine="280"/>
        <w:spacing w:after="0" w:line="259" w:lineRule="auto"/>
        <w:rPr>
          <w:sz w:val="20"/>
          <w:szCs w:val="20"/>
          <w:color w:val="auto"/>
        </w:rPr>
      </w:pPr>
      <w:r>
        <w:rPr>
          <w:rFonts w:ascii="Arial" w:cs="Arial" w:eastAsia="Arial" w:hAnsi="Arial"/>
          <w:sz w:val="18"/>
          <w:szCs w:val="18"/>
          <w:color w:val="auto"/>
        </w:rPr>
        <w:t>At December 31, 2009 and March 31, 2009, the Company had $5.8 million and $5.9 million, respectively, of restricted cash included in current assets, which includes the restricted cash securing the Windtec performance bonds noted above, and $1.4 million of long-term restricted cash at March 31, 2009. Total restricted cash as of December 31, 2009 and March 31, 2009 was $5.8 million and $7.3 million, respectively. The Company also has an additional $1.6 million in bank guarantees and letters of credit supported by unsecured lines of credit.</w:t>
      </w:r>
    </w:p>
    <w:p>
      <w:pPr>
        <w:spacing w:after="0" w:line="79" w:lineRule="exact"/>
        <w:rPr>
          <w:sz w:val="20"/>
          <w:szCs w:val="20"/>
          <w:color w:val="auto"/>
        </w:rPr>
      </w:pPr>
    </w:p>
    <w:p>
      <w:pPr>
        <w:jc w:val="both"/>
        <w:ind w:firstLine="282"/>
        <w:spacing w:after="0" w:line="286" w:lineRule="auto"/>
        <w:rPr>
          <w:sz w:val="20"/>
          <w:szCs w:val="20"/>
          <w:color w:val="auto"/>
        </w:rPr>
      </w:pPr>
      <w:r>
        <w:rPr>
          <w:rFonts w:ascii="Arial" w:cs="Arial" w:eastAsia="Arial" w:hAnsi="Arial"/>
          <w:sz w:val="17"/>
          <w:szCs w:val="17"/>
          <w:color w:val="auto"/>
        </w:rPr>
        <w:t>The Company also has unused, unsecured lines of credit of €0.5 million (approximately $0.7 million) which is available until June 30, 2010, and CNY 17.5 million (approximately $2.6 million) which is available until June 30, 2012. During the three months ended December 31, 2009, the Company was able to reduce its long term restricted cash in the U.S. through the establishment of credit relationships with a number of U.S. banks.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Cost-Sharing Arrangements</w:t>
      </w:r>
    </w:p>
    <w:p>
      <w:pPr>
        <w:spacing w:after="0" w:line="121" w:lineRule="exact"/>
        <w:rPr>
          <w:sz w:val="20"/>
          <w:szCs w:val="20"/>
          <w:color w:val="auto"/>
        </w:rPr>
      </w:pPr>
    </w:p>
    <w:p>
      <w:pPr>
        <w:jc w:val="both"/>
        <w:ind w:firstLine="306"/>
        <w:spacing w:after="0" w:line="264" w:lineRule="auto"/>
        <w:rPr>
          <w:sz w:val="20"/>
          <w:szCs w:val="20"/>
          <w:color w:val="auto"/>
        </w:rPr>
      </w:pPr>
      <w:r>
        <w:rPr>
          <w:rFonts w:ascii="Arial" w:cs="Arial" w:eastAsia="Arial" w:hAnsi="Arial"/>
          <w:sz w:val="18"/>
          <w:szCs w:val="18"/>
          <w:color w:val="auto"/>
        </w:rPr>
        <w:t>The Company has entered into several cost-sharing arrangements with various agencies of the United States government. Funds paid to the Company under these agreements are not reported as revenues but are used to directly offset the Company’s research and development (“R&amp;D”) and selling, general and administrative (“SG&amp;A”) expenses, and to purchase capital equipment.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Costs incurred and funding received under these agreements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38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gridSpan w:val="3"/>
          </w:tcPr>
          <w:p>
            <w:pPr>
              <w:jc w:val="right"/>
              <w:ind w:right="668"/>
              <w:spacing w:after="0"/>
              <w:rPr>
                <w:sz w:val="20"/>
                <w:szCs w:val="20"/>
                <w:color w:val="auto"/>
              </w:rPr>
            </w:pPr>
            <w:r>
              <w:rPr>
                <w:rFonts w:ascii="Arial" w:cs="Arial" w:eastAsia="Arial" w:hAnsi="Arial"/>
                <w:sz w:val="14"/>
                <w:szCs w:val="14"/>
                <w:b w:val="1"/>
                <w:bCs w:val="1"/>
                <w:color w:val="auto"/>
                <w:w w:val="89"/>
              </w:rPr>
              <w:t>Nine months ended</w:t>
            </w:r>
          </w:p>
        </w:tc>
      </w:tr>
      <w:tr>
        <w:trPr>
          <w:trHeight w:val="171"/>
        </w:trPr>
        <w:tc>
          <w:tcPr>
            <w:tcW w:w="58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828"/>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88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7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$615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92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$3,392</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R&amp;D expenditures offset by cost sharing funding received</w:t>
            </w:r>
          </w:p>
        </w:tc>
        <w:tc>
          <w:tcPr>
            <w:tcW w:w="680" w:type="dxa"/>
            <w:vAlign w:val="bottom"/>
          </w:tcPr>
          <w:p>
            <w:pPr>
              <w:jc w:val="right"/>
              <w:spacing w:after="0"/>
              <w:rPr>
                <w:sz w:val="20"/>
                <w:szCs w:val="20"/>
                <w:color w:val="auto"/>
              </w:rPr>
            </w:pPr>
            <w:r>
              <w:rPr>
                <w:rFonts w:ascii="Arial" w:cs="Arial" w:eastAsia="Arial" w:hAnsi="Arial"/>
                <w:sz w:val="18"/>
                <w:szCs w:val="18"/>
                <w:color w:val="auto"/>
              </w:rPr>
              <w:t>250</w:t>
            </w:r>
          </w:p>
        </w:tc>
        <w:tc>
          <w:tcPr>
            <w:tcW w:w="1700" w:type="dxa"/>
            <w:vAlign w:val="bottom"/>
            <w:gridSpan w:val="3"/>
          </w:tcPr>
          <w:p>
            <w:pPr>
              <w:jc w:val="right"/>
              <w:ind w:right="248"/>
              <w:spacing w:after="0"/>
              <w:rPr>
                <w:sz w:val="20"/>
                <w:szCs w:val="20"/>
                <w:color w:val="auto"/>
              </w:rPr>
            </w:pPr>
            <w:r>
              <w:rPr>
                <w:rFonts w:ascii="Arial" w:cs="Arial" w:eastAsia="Arial" w:hAnsi="Arial"/>
                <w:sz w:val="18"/>
                <w:szCs w:val="18"/>
                <w:color w:val="auto"/>
              </w:rPr>
              <w:t>163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867</w:t>
            </w:r>
          </w:p>
        </w:tc>
        <w:tc>
          <w:tcPr>
            <w:tcW w:w="1920" w:type="dxa"/>
            <w:vAlign w:val="bottom"/>
            <w:gridSpan w:val="3"/>
          </w:tcPr>
          <w:p>
            <w:pPr>
              <w:jc w:val="right"/>
              <w:ind w:right="248"/>
              <w:spacing w:after="0"/>
              <w:rPr>
                <w:sz w:val="20"/>
                <w:szCs w:val="20"/>
                <w:color w:val="auto"/>
              </w:rPr>
            </w:pPr>
            <w:r>
              <w:rPr>
                <w:rFonts w:ascii="Arial" w:cs="Arial" w:eastAsia="Arial" w:hAnsi="Arial"/>
                <w:sz w:val="18"/>
                <w:szCs w:val="18"/>
                <w:color w:val="auto"/>
              </w:rPr>
              <w:t>840</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G&amp;A expenditures offset by cost sharing funding received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7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141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92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731</w:t>
            </w: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2009, total funding received to date under these agreements was $29.5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Power Quality Systems, Inc.</w:t>
      </w:r>
    </w:p>
    <w:p>
      <w:pPr>
        <w:spacing w:after="0" w:line="117" w:lineRule="exact"/>
        <w:rPr>
          <w:sz w:val="20"/>
          <w:szCs w:val="20"/>
          <w:color w:val="auto"/>
        </w:rPr>
      </w:pPr>
    </w:p>
    <w:p>
      <w:pPr>
        <w:jc w:val="both"/>
        <w:ind w:firstLine="303"/>
        <w:spacing w:after="0" w:line="277" w:lineRule="auto"/>
        <w:rPr>
          <w:sz w:val="20"/>
          <w:szCs w:val="20"/>
          <w:color w:val="auto"/>
        </w:rPr>
      </w:pPr>
      <w:r>
        <w:rPr>
          <w:rFonts w:ascii="Arial" w:cs="Arial" w:eastAsia="Arial" w:hAnsi="Arial"/>
          <w:sz w:val="18"/>
          <w:szCs w:val="18"/>
          <w:color w:val="auto"/>
        </w:rPr>
        <w:t>On April 27, 2007, the Company acquired Power Quality Systems, Inc. (“PQS”), a Pennsylvania corporation, for $4.5 million in common stock. PQS offers reactive compensation products known as Static VAR Compensators, or SVCs, based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its proprietary thyristor switch technology. These products enhance the reliability of power transmission and distribution grids and improve the quality of power for manufacturing operations.</w:t>
      </w:r>
    </w:p>
    <w:p>
      <w:pPr>
        <w:spacing w:after="0" w:line="62" w:lineRule="exact"/>
        <w:rPr>
          <w:sz w:val="20"/>
          <w:szCs w:val="20"/>
          <w:color w:val="auto"/>
        </w:rPr>
      </w:pPr>
    </w:p>
    <w:p>
      <w:pPr>
        <w:jc w:val="both"/>
        <w:ind w:firstLine="347"/>
        <w:spacing w:after="0" w:line="255" w:lineRule="auto"/>
        <w:rPr>
          <w:sz w:val="20"/>
          <w:szCs w:val="20"/>
          <w:color w:val="auto"/>
        </w:rPr>
      </w:pPr>
      <w:r>
        <w:rPr>
          <w:rFonts w:ascii="Arial" w:cs="Arial" w:eastAsia="Arial" w:hAnsi="Arial"/>
          <w:sz w:val="18"/>
          <w:szCs w:val="18"/>
          <w:color w:val="auto"/>
        </w:rPr>
        <w:t>The acquisition agreement included an earn-out provision for the issuance of up to an additional 0.5 million shares of common stock based on the achievement of certain order growth targets for existing PQS products for the fiscal years ended March 31, 2008 and 2009. During the nine months ended December 31, 2008, the Company recorded contingent consideration related to the acquisition of PQS of $1.7 million to Goodwill and Additional paid-in capital, representing 75,000 shares earned. These shares were issued during the first quarter of the fiscal year ended March 31, 2009. In addition, during the nine months ended December 31, 2009, the Company recorded contingent consideration of $1.2 million to Goodwill and Additional paid-in capital, representing 75,000 shares earned for the fiscal year ended March 31, 2009. These shares were issued in the first quarter of the fiscal year ending March 31,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Windtec Consulting GmbH</w:t>
      </w:r>
    </w:p>
    <w:p>
      <w:pPr>
        <w:spacing w:after="0" w:line="117" w:lineRule="exact"/>
        <w:rPr>
          <w:sz w:val="20"/>
          <w:szCs w:val="20"/>
          <w:color w:val="auto"/>
        </w:rPr>
      </w:pPr>
    </w:p>
    <w:p>
      <w:pPr>
        <w:jc w:val="both"/>
        <w:ind w:firstLine="345"/>
        <w:spacing w:after="0" w:line="264" w:lineRule="auto"/>
        <w:rPr>
          <w:sz w:val="20"/>
          <w:szCs w:val="20"/>
          <w:color w:val="auto"/>
        </w:rPr>
      </w:pPr>
      <w:r>
        <w:rPr>
          <w:rFonts w:ascii="Arial" w:cs="Arial" w:eastAsia="Arial" w:hAnsi="Arial"/>
          <w:sz w:val="18"/>
          <w:szCs w:val="18"/>
          <w:color w:val="auto"/>
        </w:rPr>
        <w:t>On January 5, 2007, the Company acquired Windtec Consulting GmbH (“Windtec”), an Austrian corporation. Windtec develops and sells electrical systems for wind turbines. Windtec also provides technology transfer for the manufacturing of wind turbines; documentation services; and training and support regarding the assembly, installation, commissioning, and service of wind turbines.</w:t>
      </w:r>
    </w:p>
    <w:p>
      <w:pPr>
        <w:spacing w:after="0" w:line="73" w:lineRule="exact"/>
        <w:rPr>
          <w:sz w:val="20"/>
          <w:szCs w:val="20"/>
          <w:color w:val="auto"/>
        </w:rPr>
      </w:pPr>
    </w:p>
    <w:p>
      <w:pPr>
        <w:jc w:val="both"/>
        <w:ind w:firstLine="326"/>
        <w:spacing w:after="0" w:line="272" w:lineRule="auto"/>
        <w:rPr>
          <w:sz w:val="20"/>
          <w:szCs w:val="20"/>
          <w:color w:val="auto"/>
        </w:rPr>
      </w:pPr>
      <w:r>
        <w:rPr>
          <w:rFonts w:ascii="Arial" w:cs="Arial" w:eastAsia="Arial" w:hAnsi="Arial"/>
          <w:sz w:val="17"/>
          <w:szCs w:val="17"/>
          <w:color w:val="auto"/>
        </w:rPr>
        <w:t>The acquisition agreement included an earn-out provision for the issuance of up to an additional 1,400,000 shares of common stock upon Windtec’s achievement of specified revenue objectives during the fiscal years ending March 31, 2008, 2009, 2010 and 2011. The Company recorded contingent consideration of $9.8 million to Goodwill and Additional paid-in capital based on 350,000 shares earned in the nine months ended December 31, 2008. These shares were issued in the first quarter of the fiscal year ending March 31, 2010. During the nine months ended December 31, 2009, the Company recorded contingent consideration of $10.8 million to Goodwill and Additional paid-in capital representing 350,000 shares earned. These shares are expected to be issued in the first quarter of the fiscal year ending March 31, 2011. No further contingent consideration will be recorded for the fiscal year ending March 31, 2010 as this was the maximum amount of contingent consideration that can be earned.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Tres Amigas</w:t>
      </w:r>
    </w:p>
    <w:p>
      <w:pPr>
        <w:spacing w:after="0" w:line="117" w:lineRule="exact"/>
        <w:rPr>
          <w:sz w:val="20"/>
          <w:szCs w:val="20"/>
          <w:color w:val="auto"/>
        </w:rPr>
      </w:pPr>
    </w:p>
    <w:p>
      <w:pPr>
        <w:jc w:val="both"/>
        <w:ind w:firstLine="352"/>
        <w:spacing w:after="0" w:line="257" w:lineRule="auto"/>
        <w:rPr>
          <w:sz w:val="20"/>
          <w:szCs w:val="20"/>
          <w:color w:val="auto"/>
        </w:rPr>
      </w:pPr>
      <w:r>
        <w:rPr>
          <w:rFonts w:ascii="Arial" w:cs="Arial" w:eastAsia="Arial" w:hAnsi="Arial"/>
          <w:sz w:val="18"/>
          <w:szCs w:val="18"/>
          <w:color w:val="auto"/>
        </w:rPr>
        <w:t>On October 13, 2009, the Company announced it had made a minority investment in Tres Amigas LLC (“Tres Amigas”), a merchant transmission company, for $1.8 million. Consideration for the investment was $0.8 million in cash and $1.0 million in AMSC common stock. The investment was recorded under the equity method of accounting and is included in Other assets on the condensed consolidated balance sheet. The Company’s minority interest in the losses of Tres Amigas are included in Other income (expense) on the condensed consolidated statement of operations, and were immaterial for the three months ended December 31, 2009.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 and Impairments</w:t>
      </w:r>
    </w:p>
    <w:p>
      <w:pPr>
        <w:spacing w:after="0" w:line="121"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On October 25, 2007, the Company’s Board of Directors approved a restructuring plan (the “Fiscal 2007 Plan”) to reduce operating costs by closing its last remaining facility in Westborough, Massachusetts and consolidating those operations into its Devens, Massachusetts facility. No headcount reductions were associated with the Fiscal 2007 Plan.</w:t>
      </w:r>
    </w:p>
    <w:p>
      <w:pPr>
        <w:spacing w:after="0" w:line="73" w:lineRule="exact"/>
        <w:rPr>
          <w:sz w:val="20"/>
          <w:szCs w:val="20"/>
          <w:color w:val="auto"/>
        </w:rPr>
      </w:pPr>
    </w:p>
    <w:p>
      <w:pPr>
        <w:jc w:val="both"/>
        <w:ind w:firstLine="228"/>
        <w:spacing w:after="0" w:line="276" w:lineRule="auto"/>
        <w:rPr>
          <w:sz w:val="20"/>
          <w:szCs w:val="20"/>
          <w:color w:val="auto"/>
        </w:rPr>
      </w:pPr>
      <w:r>
        <w:rPr>
          <w:rFonts w:ascii="Arial" w:cs="Arial" w:eastAsia="Arial" w:hAnsi="Arial"/>
          <w:sz w:val="17"/>
          <w:szCs w:val="17"/>
          <w:color w:val="auto"/>
        </w:rPr>
        <w:t>Aggregate restructuring charges associated with the Fiscal 2007 Plan were $7.8 million, of which $0.5 million was recorded during the nine months ended December 31, 2009, for additional costs related to the consolidation of the Company’s Massachusetts operations and the closure of its former headquarters facility in Westborough. These additional costs were driven by delays in returning the building to the landlord in its mutually-agreed upon condition. The lease termination date was August 31, 2009. All restructuring charges associated with the Fiscal 2007 Plan have resulted in cash disbursements and had been completed at the end of the second quarter of the fiscal year ending March 31, 2010.</w:t>
      </w:r>
    </w:p>
    <w:p>
      <w:pPr>
        <w:spacing w:after="0" w:line="64" w:lineRule="exact"/>
        <w:rPr>
          <w:sz w:val="20"/>
          <w:szCs w:val="20"/>
          <w:color w:val="auto"/>
        </w:rPr>
      </w:pPr>
    </w:p>
    <w:p>
      <w:pPr>
        <w:jc w:val="both"/>
        <w:ind w:firstLine="246"/>
        <w:spacing w:after="0" w:line="277" w:lineRule="auto"/>
        <w:rPr>
          <w:sz w:val="20"/>
          <w:szCs w:val="20"/>
          <w:color w:val="auto"/>
        </w:rPr>
      </w:pPr>
      <w:r>
        <w:rPr>
          <w:rFonts w:ascii="Arial" w:cs="Arial" w:eastAsia="Arial" w:hAnsi="Arial"/>
          <w:sz w:val="18"/>
          <w:szCs w:val="18"/>
          <w:color w:val="auto"/>
        </w:rPr>
        <w:t>The following table presents the restructuring expense and cash disbursements for the Fiscal 2007 Plan for the nine months ended December 31, 2009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Lease</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Decontamination and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4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2"/>
                <w:szCs w:val="12"/>
                <w:color w:val="auto"/>
              </w:rPr>
            </w:pPr>
          </w:p>
        </w:tc>
        <w:tc>
          <w:tcPr>
            <w:tcW w:w="15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Other Facility</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7"/>
              </w:rPr>
              <w:t>Costs</w:t>
            </w:r>
          </w:p>
        </w:tc>
        <w:tc>
          <w:tcPr>
            <w:tcW w:w="64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5"/>
              </w:rPr>
              <w:t>Closing Costs</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2009</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Charges to operations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445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disbursements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(907)</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(2,561)</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Balance December 31, 2009</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Segment Information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reports its financial results in two reportable business segments: AMSC Power Systems and AMSC Superconductors.</w:t>
      </w:r>
    </w:p>
    <w:p>
      <w:pPr>
        <w:spacing w:after="0" w:line="117" w:lineRule="exact"/>
        <w:rPr>
          <w:sz w:val="20"/>
          <w:szCs w:val="20"/>
          <w:color w:val="auto"/>
        </w:rPr>
      </w:pPr>
    </w:p>
    <w:p>
      <w:pPr>
        <w:jc w:val="both"/>
        <w:ind w:firstLine="223"/>
        <w:spacing w:after="0" w:line="277" w:lineRule="auto"/>
        <w:rPr>
          <w:sz w:val="20"/>
          <w:szCs w:val="20"/>
          <w:color w:val="auto"/>
        </w:rPr>
      </w:pPr>
      <w:r>
        <w:rPr>
          <w:rFonts w:ascii="Arial" w:cs="Arial" w:eastAsia="Arial" w:hAnsi="Arial"/>
          <w:sz w:val="18"/>
          <w:szCs w:val="18"/>
          <w:color w:val="auto"/>
        </w:rPr>
        <w:t>AMSC Power Systems business unit produces a broad range of products to increase electrical grid capacity and reliability; supplies electrical systems used in wind turbines; sells power electronic products that regulate wind farm voltage</w:t>
      </w:r>
    </w:p>
    <w:p>
      <w:pPr>
        <w:sectPr>
          <w:pgSz w:w="11900" w:h="16838" w:orient="portrait"/>
          <w:cols w:equalWidth="0" w:num="1">
            <w:col w:w="11420"/>
          </w:cols>
          <w:pgMar w:left="240" w:top="41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enable their interconnection to the power grid; licenses proprietary wind turbine designs to manufacturers of such systems; provides consulting services to the wind industry; and offers products that enhance power quality for industrial operations.</w:t>
      </w:r>
    </w:p>
    <w:p>
      <w:pPr>
        <w:spacing w:after="0" w:line="62" w:lineRule="exact"/>
        <w:rPr>
          <w:sz w:val="20"/>
          <w:szCs w:val="20"/>
          <w:color w:val="auto"/>
        </w:rPr>
      </w:pPr>
    </w:p>
    <w:p>
      <w:pPr>
        <w:jc w:val="both"/>
        <w:ind w:firstLine="343"/>
        <w:spacing w:after="0" w:line="277" w:lineRule="auto"/>
        <w:rPr>
          <w:sz w:val="20"/>
          <w:szCs w:val="20"/>
          <w:color w:val="auto"/>
        </w:rPr>
      </w:pPr>
      <w:r>
        <w:rPr>
          <w:rFonts w:ascii="Arial" w:cs="Arial" w:eastAsia="Arial" w:hAnsi="Arial"/>
          <w:sz w:val="18"/>
          <w:szCs w:val="18"/>
          <w:color w:val="auto"/>
        </w:rPr>
        <w:t>AMSC Superconductors business unit manufactures high temperature superconductor (“HTS”) wire and coils; designs and develops superconductor products, such as power cables, fault current limiters and motors; and manages large-scale superconductor projects.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7"/>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214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AMSC Power Systems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77,026</w:t>
            </w:r>
          </w:p>
        </w:tc>
        <w:tc>
          <w:tcPr>
            <w:tcW w:w="64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0"/>
              <w:spacing w:after="0"/>
              <w:rPr>
                <w:sz w:val="20"/>
                <w:szCs w:val="20"/>
                <w:color w:val="auto"/>
              </w:rPr>
            </w:pPr>
            <w:r>
              <w:rPr>
                <w:rFonts w:ascii="Arial" w:cs="Arial" w:eastAsia="Arial" w:hAnsi="Arial"/>
                <w:sz w:val="18"/>
                <w:szCs w:val="18"/>
                <w:color w:val="auto"/>
                <w:w w:val="94"/>
              </w:rPr>
              <w:t>38,277</w:t>
            </w:r>
          </w:p>
        </w:tc>
        <w:tc>
          <w:tcPr>
            <w:tcW w:w="6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4"/>
              </w:rPr>
              <w:t>$ 219,513</w:t>
            </w:r>
          </w:p>
        </w:tc>
        <w:tc>
          <w:tcPr>
            <w:tcW w:w="360" w:type="dxa"/>
            <w:vAlign w:val="bottom"/>
          </w:tcPr>
          <w:p>
            <w:pPr>
              <w:spacing w:after="0"/>
              <w:rPr>
                <w:sz w:val="18"/>
                <w:szCs w:val="18"/>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109,783</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3,633</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3"/>
              </w:rPr>
              <w:t>3,057</w:t>
            </w:r>
          </w:p>
        </w:tc>
        <w:tc>
          <w:tcPr>
            <w:tcW w:w="6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11,743</w:t>
            </w:r>
          </w:p>
        </w:tc>
      </w:tr>
      <w:tr>
        <w:trPr>
          <w:trHeight w:val="223"/>
        </w:trPr>
        <w:tc>
          <w:tcPr>
            <w:tcW w:w="4420" w:type="dxa"/>
            <w:vAlign w:val="bottom"/>
          </w:tcPr>
          <w:p>
            <w:pPr>
              <w:ind w:left="220"/>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80,659</w:t>
            </w:r>
          </w:p>
        </w:tc>
        <w:tc>
          <w:tcPr>
            <w:tcW w:w="4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4"/>
              </w:rPr>
              <w:t>41,334</w:t>
            </w:r>
          </w:p>
        </w:tc>
        <w:tc>
          <w:tcPr>
            <w:tcW w:w="6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$ 228,331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121,526</w:t>
            </w:r>
          </w:p>
        </w:tc>
        <w:tc>
          <w:tcPr>
            <w:tcW w:w="10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4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7"/>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214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AMSC Power Systems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40"/>
              <w:spacing w:after="0"/>
              <w:rPr>
                <w:sz w:val="20"/>
                <w:szCs w:val="20"/>
                <w:color w:val="auto"/>
              </w:rPr>
            </w:pPr>
            <w:r>
              <w:rPr>
                <w:rFonts w:ascii="Arial" w:cs="Arial" w:eastAsia="Arial" w:hAnsi="Arial"/>
                <w:sz w:val="18"/>
                <w:szCs w:val="18"/>
                <w:color w:val="auto"/>
              </w:rPr>
              <w:t>19,941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3,208</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$ 55,202</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13,587</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(5,941)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(6,264)</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(17,085)</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(17,265)</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Unallocated corporate expenses</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(3,560)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(2,680)</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(10,956)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(8,559)</w:t>
            </w:r>
          </w:p>
        </w:tc>
      </w:tr>
      <w:tr>
        <w:trPr>
          <w:trHeight w:val="27"/>
        </w:trPr>
        <w:tc>
          <w:tcPr>
            <w:tcW w:w="4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10,440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(5,736)</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9"/>
              </w:rPr>
              <w:t>$ 27,161</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(12,237)</w:t>
            </w:r>
          </w:p>
        </w:tc>
      </w:tr>
      <w:tr>
        <w:trPr>
          <w:trHeight w:val="20"/>
        </w:trPr>
        <w:tc>
          <w:tcPr>
            <w:tcW w:w="4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74"/>
        <w:spacing w:after="0" w:line="255"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except that certain corporate expenses which the Company does not believe are specifically attributable or allocable to either of the two business segments have been excluded from the segment operating income (loss). Unallocated corporate expenses include stock-based compensation expense of $3.5 million and $2.4 million for the three months ended December 31, 2009 and 2008, respectively, and $10.4 million and $7.6 million for the nine months ended December 31, 2009 and 2008, respectively. Unallocated corporate expenses for the nine months ended December 31, 2009 included $0.5 million of restructuring charges related primarily to the closure of the Company’s facility in Westborough, Massachusetts.</w:t>
      </w:r>
    </w:p>
    <w:p>
      <w:pPr>
        <w:spacing w:after="0" w:line="85" w:lineRule="exact"/>
        <w:rPr>
          <w:sz w:val="20"/>
          <w:szCs w:val="20"/>
          <w:color w:val="auto"/>
        </w:rPr>
      </w:pPr>
    </w:p>
    <w:p>
      <w:pPr>
        <w:jc w:val="both"/>
        <w:ind w:firstLine="249"/>
        <w:spacing w:after="0" w:line="286" w:lineRule="auto"/>
        <w:rPr>
          <w:sz w:val="20"/>
          <w:szCs w:val="20"/>
          <w:color w:val="auto"/>
        </w:rPr>
      </w:pPr>
      <w:r>
        <w:rPr>
          <w:rFonts w:ascii="Arial" w:cs="Arial" w:eastAsia="Arial" w:hAnsi="Arial"/>
          <w:sz w:val="17"/>
          <w:szCs w:val="17"/>
          <w:color w:val="auto"/>
        </w:rPr>
        <w:t>For the three and nine months ended December 31, 2009, a substantial portion of the Company’s revenues was derived from one customer: Sinovel Wind Co., Ltd., a manufacturer of wind turbines based in China. Sales to Sinovel represented 76% and 69% of total revenues for the three and nine months ended December 31, 2009, respectively, compared to 70% and 67% for the three and nine months ended December 31, 2008, respectively.</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assets for the two business segments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190,620</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$ 136,777</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AMSC Superconductors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29,028</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21,830</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145,261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150,499</w:t>
            </w:r>
          </w:p>
        </w:tc>
      </w:tr>
      <w:tr>
        <w:trPr>
          <w:trHeight w:val="223"/>
        </w:trPr>
        <w:tc>
          <w:tcPr>
            <w:tcW w:w="910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364,909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$ 309,106</w:t>
            </w:r>
          </w:p>
        </w:tc>
        <w:tc>
          <w:tcPr>
            <w:tcW w:w="10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Corporate assets includes cash and cash equivalents, marketable securities, restricted cash and Corporate fixed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has performed an evaluation of subsequent events through February 3, 2010, which is the date the financial statements were issued.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266"/>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Section 21E of the Securities Exchange Act of 1934, as amended. For this purpose, any statements contained herein that relate to future events or conditions, including without limitation, the statements under “Item 2. Management’s Discussion and Analysis of Financial Condition and Results of Operations” and in Part II, “Item 1A. Risk Factors” and located elsewhere herein regarding industry prospects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 important factors discussed below under the caption “Risk Factors” in Item 1A,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75"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18"/>
          <w:szCs w:val="18"/>
          <w:color w:val="auto"/>
        </w:rPr>
        <w:t>American Superconductor and design, Revolutionizing the Way the World Uses Electricity, AMSC, Powered by AMSC, D-VAR, dSVC, PowerModule, PQ-IVR, Secure Super Grids, Windtec and SuperGEAR are trademarks or registered trademarks of American Superconductor Corporation or its subsidiaries. The Windtec logo and design is a registered European Union Community Trademark. All other brand names, product names, trademarks or service marks appearing in this Quarterly Report on Form 10-Q are the property of their respective 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jc w:val="both"/>
        <w:ind w:firstLine="311"/>
        <w:spacing w:after="0" w:line="273" w:lineRule="auto"/>
        <w:rPr>
          <w:sz w:val="20"/>
          <w:szCs w:val="20"/>
          <w:color w:val="auto"/>
        </w:rPr>
      </w:pPr>
      <w:r>
        <w:rPr>
          <w:rFonts w:ascii="Arial" w:cs="Arial" w:eastAsia="Arial" w:hAnsi="Arial"/>
          <w:sz w:val="17"/>
          <w:szCs w:val="17"/>
          <w:color w:val="auto"/>
        </w:rPr>
        <w:t>American Superconductor Corporation was founded in 1987. We offer an array of proprietary technologies and solutions spanning the electric power infrastructure — from generation to delivery to end use. Our company is a leader in alternative energy, providing proven, megawatt-scale wind turbine designs and electrical control systems. We also offer a host of Smart Grid technologies for power grid operators that enhance the reliability, efficiency and capacity of the grid, and seamlessly integrate renewable energy sources into the power infrastructure. These technologies include superconductor power cable systems, grid-level surge protectors and power electronics-based voltage stabilization systems. Our technologies are protected by a broad and deep intellectual property portfolio consisting of hundreds of patents and licenses worldwide.</w:t>
      </w:r>
    </w:p>
    <w:p>
      <w:pPr>
        <w:spacing w:after="0" w:line="70" w:lineRule="exact"/>
        <w:rPr>
          <w:sz w:val="20"/>
          <w:szCs w:val="20"/>
          <w:color w:val="auto"/>
        </w:rPr>
      </w:pPr>
    </w:p>
    <w:p>
      <w:pPr>
        <w:jc w:val="both"/>
        <w:ind w:firstLine="463"/>
        <w:spacing w:after="0" w:line="259" w:lineRule="auto"/>
        <w:rPr>
          <w:sz w:val="20"/>
          <w:szCs w:val="20"/>
          <w:color w:val="auto"/>
        </w:rPr>
      </w:pPr>
      <w:r>
        <w:rPr>
          <w:rFonts w:ascii="Arial" w:cs="Arial" w:eastAsia="Arial" w:hAnsi="Arial"/>
          <w:sz w:val="18"/>
          <w:szCs w:val="18"/>
          <w:color w:val="auto"/>
        </w:rPr>
        <w:t>Our company markets two primary, proprietary technologies: programmable power electronic converters and high temperature superconductor (HTS) wires. The programmability and scalability of our power electronic converters differentiates them from most competitive offerings. Our power electronic converters increase the quantity, quality and reliability of electric power that is produced by a renewable source, such as wind, transmitted by electric utilities or consumed by large industrial entities.</w:t>
      </w:r>
    </w:p>
    <w:p>
      <w:pPr>
        <w:spacing w:after="0" w:line="79" w:lineRule="exact"/>
        <w:rPr>
          <w:sz w:val="20"/>
          <w:szCs w:val="20"/>
          <w:color w:val="auto"/>
        </w:rPr>
      </w:pPr>
    </w:p>
    <w:p>
      <w:pPr>
        <w:jc w:val="both"/>
        <w:ind w:firstLine="249"/>
        <w:spacing w:after="0" w:line="259" w:lineRule="auto"/>
        <w:rPr>
          <w:sz w:val="20"/>
          <w:szCs w:val="20"/>
          <w:color w:val="auto"/>
        </w:rPr>
      </w:pPr>
      <w:r>
        <w:rPr>
          <w:rFonts w:ascii="Arial" w:cs="Arial" w:eastAsia="Arial" w:hAnsi="Arial"/>
          <w:sz w:val="18"/>
          <w:szCs w:val="18"/>
          <w:color w:val="auto"/>
        </w:rPr>
        <w:t>Our HTS wire can carry 150 times the electric current of comparatively sized copper wire and therefore increases the electric current carrying capacity of the transmission cables comprising these power grids and provides current limiting functionality in cables and stand-alone devices. In addition, our HTS wire, when incorporated into primary electrical equipment such as motors and generators, can provide increased manufacturing and operating savings due to a significant reduction in the size and weight of this equipment.</w:t>
      </w:r>
    </w:p>
    <w:p>
      <w:pPr>
        <w:spacing w:after="0" w:line="79" w:lineRule="exact"/>
        <w:rPr>
          <w:sz w:val="20"/>
          <w:szCs w:val="20"/>
          <w:color w:val="auto"/>
        </w:rPr>
      </w:pPr>
    </w:p>
    <w:p>
      <w:pPr>
        <w:jc w:val="both"/>
        <w:ind w:firstLine="238"/>
        <w:spacing w:after="0" w:line="293" w:lineRule="auto"/>
        <w:rPr>
          <w:sz w:val="20"/>
          <w:szCs w:val="20"/>
          <w:color w:val="auto"/>
        </w:rPr>
      </w:pPr>
      <w:r>
        <w:rPr>
          <w:rFonts w:ascii="Arial" w:cs="Arial" w:eastAsia="Arial" w:hAnsi="Arial"/>
          <w:sz w:val="16"/>
          <w:szCs w:val="16"/>
          <w:color w:val="auto"/>
        </w:rPr>
        <w:t>Our products are in varying stages of commercialization. Thousands of our power electronic converters have been sold commercially, as part of integrated systems, to electric utilities, wind turbines and other manufacturers and wind farm developers, owners and operators since 1999. We began production of our first generation, or “1G,” HTS wire in 2003, and ceased 1G production in 2006 in favor of second generation or “2G” HTS wire. We started initial production of 344 superconductors, our brand name for 2G HTS wire, in November 2007. The principal applications for HTS wire (power cables, fault current limiters, rotating machines and specialty magnets) are currently in the prototype stage. Some of these prototypes are funded by U.S. government contracts, primarily with the Department of Defense (“DOD”), Department of Energy (“DOE”) and the Department of Homeland Security (“DHS”).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227"/>
        <w:spacing w:after="0" w:line="264" w:lineRule="auto"/>
        <w:rPr>
          <w:sz w:val="20"/>
          <w:szCs w:val="20"/>
          <w:color w:val="auto"/>
        </w:rPr>
      </w:pPr>
      <w:r>
        <w:rPr>
          <w:rFonts w:ascii="Arial" w:cs="Arial" w:eastAsia="Arial" w:hAnsi="Arial"/>
          <w:sz w:val="18"/>
          <w:szCs w:val="18"/>
          <w:color w:val="auto"/>
        </w:rPr>
        <w:t>Our fiscal year begins on April 1 and ends on March 31. When we refer to a particular fiscal year, we are referring to the fiscal year ending on March 31 of the following year. For example, fiscal 2009 refers to the fiscal year ending March 31, 2010. Our third quarter of fiscal 2009 began on October 1, 2009 and ended on December 31, 2009.</w:t>
      </w:r>
    </w:p>
    <w:p>
      <w:pPr>
        <w:spacing w:after="0" w:line="73" w:lineRule="exact"/>
        <w:rPr>
          <w:sz w:val="20"/>
          <w:szCs w:val="20"/>
          <w:color w:val="auto"/>
        </w:rPr>
      </w:pPr>
    </w:p>
    <w:p>
      <w:pPr>
        <w:jc w:val="both"/>
        <w:ind w:firstLine="266"/>
        <w:spacing w:after="0" w:line="257" w:lineRule="auto"/>
        <w:rPr>
          <w:sz w:val="20"/>
          <w:szCs w:val="20"/>
          <w:color w:val="auto"/>
        </w:rPr>
      </w:pPr>
      <w:r>
        <w:rPr>
          <w:rFonts w:ascii="Arial" w:cs="Arial" w:eastAsia="Arial" w:hAnsi="Arial"/>
          <w:sz w:val="18"/>
          <w:szCs w:val="18"/>
          <w:color w:val="auto"/>
        </w:rPr>
        <w:t>Our cash requirements depend on numerous factors, including successful completion of our product development activities, ability to commercialize our product prototypes, rate of customer and market adoption of our products and the continued availability of U.S. government funding during the product development phase.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and potential strategic alliances and acquisitions.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257"/>
        <w:spacing w:after="0" w:line="297" w:lineRule="auto"/>
        <w:rPr>
          <w:sz w:val="20"/>
          <w:szCs w:val="20"/>
          <w:color w:val="auto"/>
        </w:rPr>
      </w:pPr>
      <w:r>
        <w:rPr>
          <w:rFonts w:ascii="Arial" w:cs="Arial" w:eastAsia="Arial" w:hAnsi="Arial"/>
          <w:sz w:val="16"/>
          <w:szCs w:val="16"/>
          <w:color w:val="auto"/>
        </w:rPr>
        <w:t>The preparation of consolidated financial statements requires that we make estimates and judgments that affect the reported amounts of assets, liabilities, revenue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third quarter of fiscal 2009 in our critical accounting policies as disclosed in our Form 10-K for fiscal 2008, which ended on March 31, 2009.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December 31, 2009 compared to the three and nine months ended December 31, 2008</w:t>
      </w:r>
    </w:p>
    <w:p>
      <w:pPr>
        <w:spacing w:after="0" w:line="117" w:lineRule="exact"/>
        <w:rPr>
          <w:sz w:val="20"/>
          <w:szCs w:val="20"/>
          <w:color w:val="auto"/>
        </w:rPr>
      </w:pPr>
    </w:p>
    <w:p>
      <w:pPr>
        <w:jc w:val="both"/>
        <w:ind w:firstLine="269"/>
        <w:spacing w:after="0" w:line="277" w:lineRule="auto"/>
        <w:rPr>
          <w:sz w:val="20"/>
          <w:szCs w:val="20"/>
          <w:color w:val="auto"/>
        </w:rPr>
      </w:pPr>
      <w:r>
        <w:rPr>
          <w:rFonts w:ascii="Arial" w:cs="Arial" w:eastAsia="Arial" w:hAnsi="Arial"/>
          <w:sz w:val="18"/>
          <w:szCs w:val="18"/>
          <w:color w:val="auto"/>
        </w:rPr>
        <w:t>We operate our business and report our financial results to the Chief Executive Officer in two reportable business segments: AMSC Power Systems and AMSC Superconductors.</w:t>
      </w:r>
    </w:p>
    <w:p>
      <w:pPr>
        <w:spacing w:after="0" w:line="62" w:lineRule="exact"/>
        <w:rPr>
          <w:sz w:val="20"/>
          <w:szCs w:val="20"/>
          <w:color w:val="auto"/>
        </w:rPr>
      </w:pPr>
    </w:p>
    <w:p>
      <w:pPr>
        <w:jc w:val="both"/>
        <w:ind w:firstLine="223"/>
        <w:spacing w:after="0" w:line="259" w:lineRule="auto"/>
        <w:rPr>
          <w:sz w:val="20"/>
          <w:szCs w:val="20"/>
          <w:color w:val="auto"/>
        </w:rPr>
      </w:pPr>
      <w:r>
        <w:rPr>
          <w:rFonts w:ascii="Arial" w:cs="Arial" w:eastAsia="Arial" w:hAnsi="Arial"/>
          <w:sz w:val="18"/>
          <w:szCs w:val="18"/>
          <w:color w:val="auto"/>
        </w:rPr>
        <w:t>AMSC Power Systems business unit produces a broad range of products to increase electrical grid capacity and reliability; supplies electrical systems used in wind turbines; sells power electronic products that regulate wind farm voltage to enable their interconnection to the power grid; licenses proprietary wind turbine designs to manufacturers of such systems; provides consulting services to the wind industry; and offers products that enhance power quality for industrial operations.</w:t>
      </w:r>
    </w:p>
    <w:p>
      <w:pPr>
        <w:spacing w:after="0" w:line="79" w:lineRule="exact"/>
        <w:rPr>
          <w:sz w:val="20"/>
          <w:szCs w:val="20"/>
          <w:color w:val="auto"/>
        </w:rPr>
      </w:pPr>
    </w:p>
    <w:p>
      <w:pPr>
        <w:jc w:val="both"/>
        <w:ind w:firstLine="330"/>
        <w:spacing w:after="0" w:line="277" w:lineRule="auto"/>
        <w:rPr>
          <w:sz w:val="20"/>
          <w:szCs w:val="20"/>
          <w:color w:val="auto"/>
        </w:rPr>
      </w:pPr>
      <w:r>
        <w:rPr>
          <w:rFonts w:ascii="Arial" w:cs="Arial" w:eastAsia="Arial" w:hAnsi="Arial"/>
          <w:sz w:val="18"/>
          <w:szCs w:val="18"/>
          <w:color w:val="auto"/>
        </w:rPr>
        <w:t>AMSC Superconductors business unit manufactures HTS wire and coils; designs and develops superconductor products, such as power cables, fault current limiters and motors; and manages large-scale superconductor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224"/>
        <w:spacing w:after="0" w:line="308" w:lineRule="auto"/>
        <w:rPr>
          <w:sz w:val="20"/>
          <w:szCs w:val="20"/>
          <w:color w:val="auto"/>
        </w:rPr>
      </w:pPr>
      <w:r>
        <w:rPr>
          <w:rFonts w:ascii="Arial" w:cs="Arial" w:eastAsia="Arial" w:hAnsi="Arial"/>
          <w:sz w:val="17"/>
          <w:szCs w:val="17"/>
          <w:color w:val="auto"/>
        </w:rPr>
        <w:t>Total revenues increased by 95% and 88% to $80.7 million and $228.3 million for the three and nine months ended December 31, 2009 from $41.3 million and $121.5 million for the three and nine months ended December 31, 2008. Our revenues are summarized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AMSC Power Systems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77,026</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38,277</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$ 219,513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$ 109,783</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3,057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8,818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11,743</w:t>
            </w: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80,659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41,334</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$ 228,331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$ 121,526</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03"/>
        <w:spacing w:after="0" w:line="289" w:lineRule="auto"/>
        <w:rPr>
          <w:sz w:val="20"/>
          <w:szCs w:val="20"/>
          <w:color w:val="auto"/>
        </w:rPr>
      </w:pPr>
      <w:r>
        <w:rPr>
          <w:rFonts w:ascii="Arial" w:cs="Arial" w:eastAsia="Arial" w:hAnsi="Arial"/>
          <w:sz w:val="16"/>
          <w:szCs w:val="16"/>
          <w:color w:val="auto"/>
        </w:rPr>
        <w:t>Revenues in our AMSC Power Systems business unit consist of revenues from wind turbine electrical systems, wind turbine license and development contracts as well as D-VAR</w:t>
      </w:r>
      <w:r>
        <w:rPr>
          <w:rFonts w:ascii="Arial" w:cs="Arial" w:eastAsia="Arial" w:hAnsi="Arial"/>
          <w:sz w:val="13"/>
          <w:szCs w:val="13"/>
          <w:color w:val="auto"/>
        </w:rPr>
        <w:t>®</w:t>
      </w:r>
      <w:r>
        <w:rPr>
          <w:rFonts w:ascii="Arial" w:cs="Arial" w:eastAsia="Arial" w:hAnsi="Arial"/>
          <w:sz w:val="16"/>
          <w:szCs w:val="16"/>
          <w:color w:val="auto"/>
        </w:rPr>
        <w:t>, D-VAR RT, SVC, and PowerModule™ product sales, service contracts, and consulting arrangements. We also engineer, install and commission our products on a turnkey basis for some customers. Our AMSC Power Systems business unit accounted for 95% and 96% of total revenues for the three and nine month periods ended December 31, 2009, compared to 93% and 90% of total revenues for the three and nine months ended December 31, 2008, respectively. Revenues in the AMSC Power Systems business unit increased 101% and 100% to $77.0 million and $219.5 million in the three and nine months ended December 31, 2009, respectively, from $38.3 million and $109.8 million in the three and nine months ended December 31, 2008, respectively. The increases in AMSC Power Systems business unit revenues were primarily due to higher sales of wind electrical systems and core components, primarily to customers in China and additionally, for the nine months ended December 31, 2009, higher D-VAR</w:t>
      </w:r>
      <w:r>
        <w:rPr>
          <w:rFonts w:ascii="Arial" w:cs="Arial" w:eastAsia="Arial" w:hAnsi="Arial"/>
          <w:sz w:val="13"/>
          <w:szCs w:val="13"/>
          <w:color w:val="auto"/>
        </w:rPr>
        <w:t>®</w:t>
      </w:r>
      <w:r>
        <w:rPr>
          <w:rFonts w:ascii="Arial" w:cs="Arial" w:eastAsia="Arial" w:hAnsi="Arial"/>
          <w:sz w:val="16"/>
          <w:szCs w:val="16"/>
          <w:color w:val="auto"/>
        </w:rPr>
        <w:t xml:space="preserve"> system shipments, as well as shipments of our D-VAR RT products to ACCIONA Energy in Spain. The Company records revenue in foreign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currencies, primarily the Euro and Chinese renminbi. Changes in exchange rates from the prior year had a deminimus effect on revenues for both the three and nine months ended December 31, 2009.</w:t>
      </w:r>
    </w:p>
    <w:p>
      <w:pPr>
        <w:spacing w:after="0" w:line="62" w:lineRule="exact"/>
        <w:rPr>
          <w:sz w:val="20"/>
          <w:szCs w:val="20"/>
          <w:color w:val="auto"/>
        </w:rPr>
      </w:pPr>
    </w:p>
    <w:p>
      <w:pPr>
        <w:jc w:val="both"/>
        <w:ind w:firstLine="245"/>
        <w:spacing w:after="0" w:line="286" w:lineRule="auto"/>
        <w:rPr>
          <w:sz w:val="20"/>
          <w:szCs w:val="20"/>
          <w:color w:val="auto"/>
        </w:rPr>
      </w:pPr>
      <w:r>
        <w:rPr>
          <w:rFonts w:ascii="Arial" w:cs="Arial" w:eastAsia="Arial" w:hAnsi="Arial"/>
          <w:sz w:val="17"/>
          <w:szCs w:val="17"/>
          <w:color w:val="auto"/>
        </w:rPr>
        <w:t>For the three and nine months ended December 31, 2009, a substantial portion of our revenues was derived from one customer: Sinovel Wind Co., Ltd., a manufacturer of wind turbines based in China. Sales to Sinovel represented 76% and 69% of total revenues for the three and nine months ended December 31 2009, respectively, compared to 70% and 67% for the three and nine months ended December 31, 2008, respectively.</w:t>
      </w:r>
    </w:p>
    <w:p>
      <w:pPr>
        <w:spacing w:after="0" w:line="57" w:lineRule="exact"/>
        <w:rPr>
          <w:sz w:val="20"/>
          <w:szCs w:val="20"/>
          <w:color w:val="auto"/>
        </w:rPr>
      </w:pPr>
    </w:p>
    <w:p>
      <w:pPr>
        <w:jc w:val="both"/>
        <w:ind w:firstLine="237"/>
        <w:spacing w:after="0" w:line="291" w:lineRule="auto"/>
        <w:rPr>
          <w:sz w:val="20"/>
          <w:szCs w:val="20"/>
          <w:color w:val="auto"/>
        </w:rPr>
      </w:pPr>
      <w:r>
        <w:rPr>
          <w:rFonts w:ascii="Arial" w:cs="Arial" w:eastAsia="Arial" w:hAnsi="Arial"/>
          <w:sz w:val="16"/>
          <w:szCs w:val="16"/>
          <w:color w:val="auto"/>
        </w:rPr>
        <w:t>Revenues in our AMSC Superconductors business unit consist of contract revenues, HTS wire sales, revenues under government-sponsored electric utility projects, and other prototype development contracts. AMSC Superconductors business unit revenue is primarily recorded using the percentage-of-completion method. AMSC Superconductors business unit accounted for 5% and 4% of total revenues for the three and nine month periods ended December 31, 2009, compared to 7% and 10% for the three and nine months ended December 31, 2008, respectively. AMSC Superconductors business unit revenue increased 19% to $3.6 million in the three months ended December 31, 2009, from $3.1 million in the three months ended December 31, 2008, and decreased 25% to $8.8 million in the nine months ended December 31, 2009, from $11.7 million for the nine months ended December 31, 2008. Revenues from significant AMSC Superconductors government funded contracts are summarized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Revenue Earned</w:t>
            </w:r>
          </w:p>
        </w:tc>
        <w:tc>
          <w:tcPr>
            <w:tcW w:w="24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Revenue Earned for the</w:t>
            </w:r>
          </w:p>
        </w:tc>
        <w:tc>
          <w:tcPr>
            <w:tcW w:w="360" w:type="dxa"/>
            <w:vAlign w:val="bottom"/>
          </w:tcPr>
          <w:p>
            <w:pPr>
              <w:spacing w:after="0"/>
              <w:rPr>
                <w:sz w:val="14"/>
                <w:szCs w:val="14"/>
                <w:color w:val="auto"/>
              </w:rPr>
            </w:pPr>
          </w:p>
        </w:tc>
        <w:tc>
          <w:tcPr>
            <w:tcW w:w="2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Revenue Earned for the</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three months</w:t>
            </w: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300" w:type="dxa"/>
            <w:vAlign w:val="bottom"/>
          </w:tcPr>
          <w:p>
            <w:pPr>
              <w:jc w:val="right"/>
              <w:ind w:right="116"/>
              <w:spacing w:after="0"/>
              <w:rPr>
                <w:sz w:val="20"/>
                <w:szCs w:val="20"/>
                <w:color w:val="auto"/>
              </w:rPr>
            </w:pPr>
            <w:r>
              <w:rPr>
                <w:rFonts w:ascii="Arial" w:cs="Arial" w:eastAsia="Arial" w:hAnsi="Arial"/>
                <w:sz w:val="14"/>
                <w:szCs w:val="14"/>
                <w:b w:val="1"/>
                <w:bCs w:val="1"/>
                <w:color w:val="auto"/>
              </w:rPr>
              <w:t>Expected Total</w:t>
            </w:r>
          </w:p>
        </w:tc>
        <w:tc>
          <w:tcPr>
            <w:tcW w:w="360" w:type="dxa"/>
            <w:vAlign w:val="bottom"/>
          </w:tcPr>
          <w:p>
            <w:pPr>
              <w:spacing w:after="0"/>
              <w:rPr>
                <w:sz w:val="14"/>
                <w:szCs w:val="14"/>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through</w:t>
            </w:r>
          </w:p>
        </w:tc>
        <w:tc>
          <w:tcPr>
            <w:tcW w:w="2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ended December 31,</w:t>
            </w:r>
          </w:p>
        </w:tc>
        <w:tc>
          <w:tcPr>
            <w:tcW w:w="360" w:type="dxa"/>
            <w:vAlign w:val="bottom"/>
          </w:tcPr>
          <w:p>
            <w:pPr>
              <w:spacing w:after="0"/>
              <w:rPr>
                <w:sz w:val="14"/>
                <w:szCs w:val="14"/>
                <w:color w:val="auto"/>
              </w:rPr>
            </w:pPr>
          </w:p>
        </w:tc>
        <w:tc>
          <w:tcPr>
            <w:tcW w:w="2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ended December 31,</w:t>
            </w: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30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Contract Value</w:t>
            </w:r>
          </w:p>
        </w:tc>
        <w:tc>
          <w:tcPr>
            <w:tcW w:w="360" w:type="dxa"/>
            <w:vAlign w:val="bottom"/>
          </w:tcPr>
          <w:p>
            <w:pPr>
              <w:spacing w:after="0"/>
              <w:rPr>
                <w:sz w:val="12"/>
                <w:szCs w:val="12"/>
                <w:color w:val="auto"/>
              </w:rPr>
            </w:pPr>
          </w:p>
        </w:tc>
        <w:tc>
          <w:tcPr>
            <w:tcW w:w="188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December 31, 2009</w:t>
            </w:r>
          </w:p>
        </w:tc>
        <w:tc>
          <w:tcPr>
            <w:tcW w:w="74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rPr>
              <w:t>2009</w:t>
            </w:r>
          </w:p>
        </w:tc>
        <w:tc>
          <w:tcPr>
            <w:tcW w:w="168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78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2009</w:t>
            </w:r>
          </w:p>
        </w:tc>
        <w:tc>
          <w:tcPr>
            <w:tcW w:w="166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Project Name</w:t>
            </w:r>
          </w:p>
        </w:tc>
        <w:tc>
          <w:tcPr>
            <w:tcW w:w="13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HYDRA</w:t>
            </w:r>
          </w:p>
        </w:tc>
        <w:tc>
          <w:tcPr>
            <w:tcW w:w="1300" w:type="dxa"/>
            <w:vAlign w:val="bottom"/>
          </w:tcPr>
          <w:p>
            <w:pPr>
              <w:jc w:val="right"/>
              <w:ind w:right="316"/>
              <w:spacing w:after="0"/>
              <w:rPr>
                <w:sz w:val="20"/>
                <w:szCs w:val="20"/>
                <w:color w:val="auto"/>
              </w:rPr>
            </w:pPr>
            <w:r>
              <w:rPr>
                <w:rFonts w:ascii="Arial" w:cs="Arial" w:eastAsia="Arial" w:hAnsi="Arial"/>
                <w:sz w:val="18"/>
                <w:szCs w:val="18"/>
                <w:color w:val="auto"/>
              </w:rPr>
              <w:t>$24,908</w:t>
            </w:r>
          </w:p>
        </w:tc>
        <w:tc>
          <w:tcPr>
            <w:tcW w:w="1860" w:type="dxa"/>
            <w:vAlign w:val="bottom"/>
            <w:gridSpan w:val="2"/>
          </w:tcPr>
          <w:p>
            <w:pPr>
              <w:jc w:val="right"/>
              <w:ind w:right="428"/>
              <w:spacing w:after="0"/>
              <w:rPr>
                <w:sz w:val="20"/>
                <w:szCs w:val="20"/>
                <w:color w:val="auto"/>
              </w:rPr>
            </w:pPr>
            <w:r>
              <w:rPr>
                <w:rFonts w:ascii="Arial" w:cs="Arial" w:eastAsia="Arial" w:hAnsi="Arial"/>
                <w:sz w:val="18"/>
                <w:szCs w:val="18"/>
                <w:color w:val="auto"/>
              </w:rPr>
              <w:t>$ 8,877</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  196</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$1,023</w:t>
            </w:r>
          </w:p>
        </w:tc>
        <w:tc>
          <w:tcPr>
            <w:tcW w:w="1140" w:type="dxa"/>
            <w:vAlign w:val="bottom"/>
            <w:gridSpan w:val="2"/>
          </w:tcPr>
          <w:p>
            <w:pPr>
              <w:jc w:val="right"/>
              <w:ind w:right="8"/>
              <w:spacing w:after="0"/>
              <w:rPr>
                <w:sz w:val="20"/>
                <w:szCs w:val="20"/>
                <w:color w:val="auto"/>
              </w:rPr>
            </w:pPr>
            <w:r>
              <w:rPr>
                <w:rFonts w:ascii="Arial" w:cs="Arial" w:eastAsia="Arial" w:hAnsi="Arial"/>
                <w:sz w:val="18"/>
                <w:szCs w:val="18"/>
                <w:color w:val="auto"/>
              </w:rPr>
              <w:t>$1,025</w:t>
            </w:r>
          </w:p>
        </w:tc>
        <w:tc>
          <w:tcPr>
            <w:tcW w:w="1660" w:type="dxa"/>
            <w:vAlign w:val="bottom"/>
            <w:gridSpan w:val="3"/>
          </w:tcPr>
          <w:p>
            <w:pPr>
              <w:jc w:val="right"/>
              <w:ind w:right="280"/>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LIPA I and II</w:t>
            </w:r>
          </w:p>
        </w:tc>
        <w:tc>
          <w:tcPr>
            <w:tcW w:w="13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40,141</w:t>
            </w:r>
          </w:p>
        </w:tc>
        <w:tc>
          <w:tcPr>
            <w:tcW w:w="18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33,489</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593</w:t>
            </w:r>
          </w:p>
        </w:tc>
        <w:tc>
          <w:tcPr>
            <w:tcW w:w="11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2,754</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DOE-FCL</w:t>
            </w:r>
          </w:p>
        </w:tc>
        <w:tc>
          <w:tcPr>
            <w:tcW w:w="1300" w:type="dxa"/>
            <w:vAlign w:val="bottom"/>
          </w:tcPr>
          <w:p>
            <w:pPr>
              <w:jc w:val="right"/>
              <w:ind w:right="316"/>
              <w:spacing w:after="0"/>
              <w:rPr>
                <w:sz w:val="20"/>
                <w:szCs w:val="20"/>
                <w:color w:val="auto"/>
              </w:rPr>
            </w:pPr>
            <w:r>
              <w:rPr>
                <w:rFonts w:ascii="Arial" w:cs="Arial" w:eastAsia="Arial" w:hAnsi="Arial"/>
                <w:sz w:val="18"/>
                <w:szCs w:val="18"/>
                <w:color w:val="auto"/>
              </w:rPr>
              <w:t>7,898</w:t>
            </w:r>
          </w:p>
        </w:tc>
        <w:tc>
          <w:tcPr>
            <w:tcW w:w="1860" w:type="dxa"/>
            <w:vAlign w:val="bottom"/>
            <w:gridSpan w:val="2"/>
          </w:tcPr>
          <w:p>
            <w:pPr>
              <w:jc w:val="right"/>
              <w:ind w:right="428"/>
              <w:spacing w:after="0"/>
              <w:rPr>
                <w:sz w:val="20"/>
                <w:szCs w:val="20"/>
                <w:color w:val="auto"/>
              </w:rPr>
            </w:pPr>
            <w:r>
              <w:rPr>
                <w:rFonts w:ascii="Arial" w:cs="Arial" w:eastAsia="Arial" w:hAnsi="Arial"/>
                <w:sz w:val="18"/>
                <w:szCs w:val="18"/>
                <w:color w:val="auto"/>
              </w:rPr>
              <w:t>3,983</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403</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489</w:t>
            </w:r>
          </w:p>
        </w:tc>
        <w:tc>
          <w:tcPr>
            <w:tcW w:w="1140" w:type="dxa"/>
            <w:vAlign w:val="bottom"/>
            <w:gridSpan w:val="2"/>
          </w:tcPr>
          <w:p>
            <w:pPr>
              <w:jc w:val="right"/>
              <w:ind w:right="8"/>
              <w:spacing w:after="0"/>
              <w:rPr>
                <w:sz w:val="20"/>
                <w:szCs w:val="20"/>
                <w:color w:val="auto"/>
              </w:rPr>
            </w:pPr>
            <w:r>
              <w:rPr>
                <w:rFonts w:ascii="Arial" w:cs="Arial" w:eastAsia="Arial" w:hAnsi="Arial"/>
                <w:sz w:val="18"/>
                <w:szCs w:val="18"/>
                <w:color w:val="auto"/>
              </w:rPr>
              <w:t>980</w:t>
            </w:r>
          </w:p>
        </w:tc>
        <w:tc>
          <w:tcPr>
            <w:tcW w:w="1660" w:type="dxa"/>
            <w:vAlign w:val="bottom"/>
            <w:gridSpan w:val="3"/>
          </w:tcPr>
          <w:p>
            <w:pPr>
              <w:jc w:val="right"/>
              <w:ind w:right="28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NAVSEA Motor Study</w:t>
            </w:r>
          </w:p>
        </w:tc>
        <w:tc>
          <w:tcPr>
            <w:tcW w:w="13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6,511</w:t>
            </w:r>
          </w:p>
        </w:tc>
        <w:tc>
          <w:tcPr>
            <w:tcW w:w="18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6,087</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336</w:t>
            </w:r>
          </w:p>
        </w:tc>
        <w:tc>
          <w:tcPr>
            <w:tcW w:w="11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207</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245"/>
        <w:spacing w:after="0" w:line="277" w:lineRule="auto"/>
        <w:rPr>
          <w:sz w:val="20"/>
          <w:szCs w:val="20"/>
          <w:color w:val="auto"/>
        </w:rPr>
      </w:pPr>
      <w:r>
        <w:rPr>
          <w:rFonts w:ascii="Arial" w:cs="Arial" w:eastAsia="Arial" w:hAnsi="Arial"/>
          <w:sz w:val="18"/>
          <w:szCs w:val="18"/>
          <w:color w:val="auto"/>
        </w:rPr>
        <w:t>These significant projects represented 51% and 56% of AMSC Superconductors business unit revenue for the three and nine months ended December 31, 2009, respectively, compared to 80% and 84% for the three and nine months ended December 31, 2008, respectively.</w:t>
      </w:r>
    </w:p>
    <w:p>
      <w:pPr>
        <w:spacing w:after="0" w:line="62" w:lineRule="exact"/>
        <w:rPr>
          <w:sz w:val="20"/>
          <w:szCs w:val="20"/>
          <w:color w:val="auto"/>
        </w:rPr>
      </w:pPr>
    </w:p>
    <w:p>
      <w:pPr>
        <w:jc w:val="both"/>
        <w:ind w:firstLine="257"/>
        <w:spacing w:after="0" w:line="268" w:lineRule="auto"/>
        <w:rPr>
          <w:sz w:val="20"/>
          <w:szCs w:val="20"/>
          <w:color w:val="auto"/>
        </w:rPr>
      </w:pPr>
      <w:r>
        <w:rPr>
          <w:rFonts w:ascii="Arial" w:cs="Arial" w:eastAsia="Arial" w:hAnsi="Arial"/>
          <w:sz w:val="17"/>
          <w:szCs w:val="17"/>
          <w:color w:val="auto"/>
        </w:rPr>
        <w:t>The increase in AMSC Superconductors business unit revenue for the three months ended December 31, 2009 was driven by increased efforts in support of the LIPA II project and the delivery of 2G wire on a commercial cable project. The decrease in AMSC Superconductors business unit revenue for the first nine months of fiscal 2009 was driven primarily by lower HYDRA project revenues due to delays in project milestones and the completion of the NAVSEA Motor Study. We recognize superconductor cable project revenues from the Project HYDRA contract with Consolidated Edison, Inc. (“ConEdison”), which is being funded by DHS. DHS is expected to invest up to a total of $24.9 million in the development of a new high temperature superconductor power grid technology to enable Secure Super Grids™. Secure Super Grids utilize customized HTS wires, superconductor power cables and ancillary controls to deliver more power through the grid while also being able to suppress power surges that can disrupt service. Of the total $24.9 million in funding expected from DHS, it has committed funding of $16.3 million to us as of December 31, 2009. We recognized $0.2 million in revenue related to the Project HYDRA during the third quarter of fiscal 2009, compared to $1.0 million in the same period of fiscal 2008. ConEdison and Southwire Company are subcontractors to us on this project. In 2009, we received word from ConEdison that, due to the recent economic downturn and a resulting decrease in New York City power demands, they are deferring investment in a new substation that was to be connected to an existing substation by our Secure Super Grids solution in 2010. Since that time, we have successfully tested a prototype Secure Super Grids system and met our other project milestones, but the timing of project completion is currently unknown. AMSC remains actively engaged with ConEdison and the Department of Homeland Security to find a new site for the Secure Super Grids installation.</w:t>
      </w:r>
    </w:p>
    <w:p>
      <w:pPr>
        <w:spacing w:after="0" w:line="77"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8"/>
          <w:szCs w:val="18"/>
          <w:color w:val="auto"/>
        </w:rPr>
        <w:t>LIPA I is a project to install an HTS power cable system at transmission voltage using our first generation HTS wire for the Long Island Power Authority. LIPA II is a project to install an HTS power cable utilizing our second generation HTS wire for the Long Island Power Authority. DOE-FCL is a project to develop and demonstrate a transmission voltage SuperLimiter fault current limiter (“FCL”). The NAVSEA Motor Study is a project designed to test the 36.5 MW superconductor motor developed for the U.S. Navy.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Cost-sharing funding</w:t>
      </w:r>
    </w:p>
    <w:p>
      <w:pPr>
        <w:spacing w:after="0" w:line="117" w:lineRule="exact"/>
        <w:rPr>
          <w:sz w:val="20"/>
          <w:szCs w:val="20"/>
          <w:color w:val="auto"/>
        </w:rPr>
      </w:pPr>
    </w:p>
    <w:p>
      <w:pPr>
        <w:jc w:val="both"/>
        <w:ind w:firstLine="311"/>
        <w:spacing w:after="0" w:line="276" w:lineRule="auto"/>
        <w:rPr>
          <w:sz w:val="20"/>
          <w:szCs w:val="20"/>
          <w:color w:val="auto"/>
        </w:rPr>
      </w:pPr>
      <w:r>
        <w:rPr>
          <w:rFonts w:ascii="Arial" w:cs="Arial" w:eastAsia="Arial" w:hAnsi="Arial"/>
          <w:sz w:val="17"/>
          <w:szCs w:val="17"/>
          <w:color w:val="auto"/>
        </w:rPr>
        <w:t>In addition to reported revenues, we also received funding of $0.4 million and $1.6 million for the three and nine months ended December 31, 2009, respectively, under U.S. government cost-sharing agreements with the U.S. Air Force and DOE, compared to $0.3 million and $1.6 million for the three and nine months ended December 31, 2008, respectively. All of our cost-sharing agreements provide funding in support of development work on our 344 superconductors being done in our AMSC Superconductors business unit. We anticipate that a portion of our funding in the future will continue to come from cost-sharing agreements as we execute joint programs with government agencies. Funding from government cost-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sharing agreements is recorded as an offset to research and development (“R&amp;D”) and selling, general and administrative (“SG&amp;A”) expenses, rather than as revenue. As of December 31, 2009, we anticipate recognizing an additional $0.2 million offset to R&amp;D and SG&amp;A expenses related to these cost-sharing agreements over the next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117" w:lineRule="exact"/>
        <w:rPr>
          <w:sz w:val="20"/>
          <w:szCs w:val="20"/>
          <w:color w:val="auto"/>
        </w:rPr>
      </w:pPr>
    </w:p>
    <w:p>
      <w:pPr>
        <w:jc w:val="both"/>
        <w:ind w:firstLine="272"/>
        <w:spacing w:after="0" w:line="273" w:lineRule="auto"/>
        <w:rPr>
          <w:sz w:val="20"/>
          <w:szCs w:val="20"/>
          <w:color w:val="auto"/>
        </w:rPr>
      </w:pPr>
      <w:r>
        <w:rPr>
          <w:rFonts w:ascii="Arial" w:cs="Arial" w:eastAsia="Arial" w:hAnsi="Arial"/>
          <w:sz w:val="17"/>
          <w:szCs w:val="17"/>
          <w:color w:val="auto"/>
        </w:rPr>
        <w:t>Cost of revenues increased by 59% and 63% to $50.4 million and $146.5 million for the three and nine months ended December 31, 2009, respectively, compared to $31.8 million and $89.6 million for the three and nine months ended December 31, 2008, respectively. Gross margin was 37.5% and 35.8% for the three and nine months ended December 31, 2009, respectively, compared to 23.2% and 26.2%, respectively, for the same periods of fiscal 2008. The increases in gross margin in the three and nine months ended December 31, 2009 as compared to the same periods in fiscal 2008 were due primarily to a shift in mix towards higher margin wind turbine core electrical component shipments and material cost reductions, primarily resulting from the localization of component supply in China for our power electronic converters which are now manufactured there.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firstLine="328"/>
        <w:spacing w:after="0" w:line="342"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 of revenues (rather than as R&amp;D expenses). Additionally, a portion of R&amp;D expenses was offset by cost-sharing funding. Our R&amp;D expenditures are summarized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R&amp;D expenses per Consolidated Statements of Operations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16,365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14,906</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R&amp;D expenditures reclassified as cost of revenues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1,832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4,710</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4,679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14,765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Aggregated R&amp;D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8,503</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10,178</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21,911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30,511</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R&amp;D expenses (exclusive of amounts classified as cost of revenues and amounts offset by cost-sharing funding) increased by 21% and 10% to $6.4 million and $16.4 million, or 8% and 7% of revenue, for the three and nine months ended December 31, 2009, respectively, from $5.3 million and $14.9 million, or 13% and 12% of revenue, for the three and nine months ended December 31, 2008, respectively. The increases in R&amp;D expenses were driven primarily by increased headcount and related labor spending, as well as added material and overhead spending to support new product development in our Power Systems business unit. The decreases in R&amp;D expenditures reclassified to cost of revenues were a result of decreased efforts under our government funded contracts in our AMSC Superconductors business unit compared to the prior year periods. Aggregated R&amp;D expenses, which include amounts classified as cost of revenues and amounts offset by cost-sharing funding, decreased 16% and 28% to $8.5 million and $21.9 million, or 11% and 10% of revenue, for the three and nine months ended December 31, 2009, respectively, compared to $10.2 million and $30.5 million, or 25% of revenue, for both the three and nine months ended December 31, 2008, respectively. The decreases in fiscal 2009 were driven primarily by the net impact of the factors described above.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firstLine="290"/>
        <w:spacing w:after="0" w:line="342" w:lineRule="auto"/>
        <w:rPr>
          <w:sz w:val="20"/>
          <w:szCs w:val="20"/>
          <w:color w:val="auto"/>
        </w:rPr>
      </w:pPr>
      <w:r>
        <w:rPr>
          <w:rFonts w:ascii="Arial" w:cs="Arial" w:eastAsia="Arial" w:hAnsi="Arial"/>
          <w:sz w:val="16"/>
          <w:szCs w:val="16"/>
          <w:color w:val="auto"/>
        </w:rPr>
        <w:t>A portion of the SG&amp;A expenditures related to externally funded development contracts has been classified as cost of revenues (rather than as SG&amp;A expenses). Additionally, a portion of SG&amp;A expenses was offset by cost-sharing funding. Our SG&amp;A expenditures are summarized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 per Consolidated Statements of Operations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12,881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9,400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36,478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27,142</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SG&amp;A expenditures reclassified as cost of revenues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252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SG&amp;A expenditures offset by cost sharing funding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Aggregated SG&amp;A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13,223</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9,632</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37,485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28,424</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378"/>
        <w:spacing w:after="0" w:line="264" w:lineRule="auto"/>
        <w:rPr>
          <w:sz w:val="20"/>
          <w:szCs w:val="20"/>
          <w:color w:val="auto"/>
        </w:rPr>
      </w:pPr>
      <w:r>
        <w:rPr>
          <w:rFonts w:ascii="Arial" w:cs="Arial" w:eastAsia="Arial" w:hAnsi="Arial"/>
          <w:sz w:val="18"/>
          <w:szCs w:val="18"/>
          <w:color w:val="auto"/>
        </w:rPr>
        <w:t>SG&amp;A expenses (exclusive of amounts classified as cost of revenues and amounts offset by cost-sharing funding) increased by 37% and 34% to $12.9 million and $36.5 million, or 16% of revenue, in the three and nine months ended December 31, 2009, respectively, from $9.4 million and $27.1 million, or 23% and 22% of revenue, for the three and nine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months ended December 31, 2008, respectively. For the three and nine months ended December 31, 2009, the increases in SG&amp;A expenses were due primarily to higher stock-based compensation expense and higher labor and related costs driven by headcount growth, partially offset by a reduction of $0.8 million and $1.9 million, respectively, in bad debt expense as a result of payments received and improved expectations for realizing a recovery on certain past due accounts. For these same reasons, Aggregated SG&amp;A expenses, which include amounts classified as cost of revenues and amounts offset by cost sharing funding, increased 37% and 32% to $13.2 million and $37.5 million, or 16% of revenue, for the three and nine months ended December 31, 2009, respectively, from $9.6 million and $28.4 million, or 23% of revenue, for the three and nine months ended December 31, 2008, respectively.</w:t>
      </w:r>
    </w:p>
    <w:p>
      <w:pPr>
        <w:spacing w:after="0" w:line="57" w:lineRule="exact"/>
        <w:rPr>
          <w:sz w:val="20"/>
          <w:szCs w:val="20"/>
          <w:color w:val="auto"/>
        </w:rPr>
      </w:pPr>
    </w:p>
    <w:p>
      <w:pPr>
        <w:jc w:val="both"/>
        <w:ind w:firstLine="310"/>
        <w:spacing w:after="0" w:line="302" w:lineRule="auto"/>
        <w:rPr>
          <w:sz w:val="20"/>
          <w:szCs w:val="20"/>
          <w:color w:val="auto"/>
        </w:rPr>
      </w:pPr>
      <w:r>
        <w:rPr>
          <w:rFonts w:ascii="Arial" w:cs="Arial" w:eastAsia="Arial" w:hAnsi="Arial"/>
          <w:sz w:val="16"/>
          <w:szCs w:val="16"/>
          <w:color w:val="auto"/>
        </w:rPr>
        <w:t>We present Aggregated R&amp;D and Aggregated SG&amp;A expenses, which are non-GAAP measures, because we believe this presentation provides useful information on our aggregate R&amp;D and SG&amp;A spending and because R&amp;D and SG&amp;A expenses as reported on the Consolidated Statements of Operations have been, and may in the future be, subject to significant fluctuations solely as a result of changes in the level of externally funded contract development work, resulting in significant changes in the amount of the costs recorded as cost of revenues rather than as R&amp;D and SG&amp;A expenses, as discussed above.</w:t>
      </w:r>
    </w:p>
    <w:p>
      <w:pPr>
        <w:spacing w:after="0" w:line="46" w:lineRule="exact"/>
        <w:rPr>
          <w:sz w:val="20"/>
          <w:szCs w:val="20"/>
          <w:color w:val="auto"/>
        </w:rPr>
      </w:pPr>
    </w:p>
    <w:p>
      <w:pPr>
        <w:jc w:val="both"/>
        <w:ind w:firstLine="254"/>
        <w:spacing w:after="0" w:line="277" w:lineRule="auto"/>
        <w:rPr>
          <w:sz w:val="20"/>
          <w:szCs w:val="20"/>
          <w:color w:val="auto"/>
        </w:rPr>
      </w:pPr>
      <w:r>
        <w:rPr>
          <w:rFonts w:ascii="Arial" w:cs="Arial" w:eastAsia="Arial" w:hAnsi="Arial"/>
          <w:sz w:val="18"/>
          <w:szCs w:val="18"/>
          <w:color w:val="auto"/>
        </w:rPr>
        <w:t>We plan to continue to increase R&amp;D and SG&amp;A expenditures in absolute terms in the coming quarters to provide the platform for growth in subsequent years, but expect them to decline for full year fiscal 2009 as a percent of revenue from fiscal year 2008 levels.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117"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We recorded $0.5 million and $1.4 million in the three and nine months ended December 31, 2009, respectively, compared to $0.4 million and $1.4 million in the three and nine months ended December 31, 2008, respectively, in amortization expense related to our contractual relationships/backlog, customer relationships, core technology and know-how, trade names and trademark intangible assets. These intangible assets are a result of our AMSC Windtec GmbH and Power Quality Systems, Inc.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impairments</w:t>
      </w:r>
    </w:p>
    <w:p>
      <w:pPr>
        <w:spacing w:after="0" w:line="117" w:lineRule="exact"/>
        <w:rPr>
          <w:sz w:val="20"/>
          <w:szCs w:val="20"/>
          <w:color w:val="auto"/>
        </w:rPr>
      </w:pPr>
    </w:p>
    <w:p>
      <w:pPr>
        <w:jc w:val="both"/>
        <w:ind w:firstLine="265"/>
        <w:spacing w:after="0" w:line="264" w:lineRule="auto"/>
        <w:rPr>
          <w:sz w:val="20"/>
          <w:szCs w:val="20"/>
          <w:color w:val="auto"/>
        </w:rPr>
      </w:pPr>
      <w:r>
        <w:rPr>
          <w:rFonts w:ascii="Arial" w:cs="Arial" w:eastAsia="Arial" w:hAnsi="Arial"/>
          <w:sz w:val="18"/>
          <w:szCs w:val="18"/>
          <w:color w:val="auto"/>
        </w:rPr>
        <w:t>On October 25, 2007, our Board of Directors approved a restructuring plan (the “Fiscal 2007 Plan”) to reduce operating costs through the closure of our last remaining facility in Westborough, Massachusetts and the consolidation of operations there, including our corporate headquarters, into our Devens, Massachusetts facility. No headcount reductions were associated with this plan.</w:t>
      </w:r>
    </w:p>
    <w:p>
      <w:pPr>
        <w:spacing w:after="0" w:line="73"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Aggregate restructuring charges associated with the Fiscal 2007 Plan were $7.8 million, of which $0.5 million was recorded during the nine months ended December 31, 2009. In the nine months ended December 31, 2008, $0.7 million was recorded related to the closure of our Westborough, Massachusetts facility. All restructuring charges associated with the Fiscal 2007 Plan have resulted in cash disbursements and had been completed at the end of the second quarter of fiscal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operating income (loss) is summarized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19,941</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55,202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13,587</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AMSC Superconductors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(5,941)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(6,264)</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(17,085)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(17,265)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(3,560)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(2,680)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(10,956)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(8,559)</w:t>
            </w: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10,440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(5,736</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27,161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(12,237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AMSC Power Systems operating income increased to $19.9 million and $55.2 million in the three and nine months ended December 31, 2009, respectively, from $3.2 million and $13.6 million in the three and nine months ended December 31, 2008, respectively. The increase in the three and nine months ended December 31, 2009 was primarily the result of higher sales and margins, as described above.</w:t>
      </w:r>
    </w:p>
    <w:p>
      <w:pPr>
        <w:spacing w:after="0" w:line="73" w:lineRule="exact"/>
        <w:rPr>
          <w:sz w:val="20"/>
          <w:szCs w:val="20"/>
          <w:color w:val="auto"/>
        </w:rPr>
      </w:pPr>
    </w:p>
    <w:p>
      <w:pPr>
        <w:jc w:val="both"/>
        <w:ind w:firstLine="236"/>
        <w:spacing w:after="0" w:line="302" w:lineRule="auto"/>
        <w:rPr>
          <w:sz w:val="20"/>
          <w:szCs w:val="20"/>
          <w:color w:val="auto"/>
        </w:rPr>
      </w:pPr>
      <w:r>
        <w:rPr>
          <w:rFonts w:ascii="Arial" w:cs="Arial" w:eastAsia="Arial" w:hAnsi="Arial"/>
          <w:sz w:val="16"/>
          <w:szCs w:val="16"/>
          <w:color w:val="auto"/>
        </w:rPr>
        <w:t>AMSC Superconductors operating loss decreased to $5.9 million and $17.1 million for the three and nine months ended December 31, 2009, respectively, compared to $6.3 million and $17.3 million in the three and nine months ended December 31, 2008, respectively. The decrease in the three months ended December 31, 2009 was primarily the result of higher sales and margins, as described above. The slight decrease in operating loss for the nine months ended December 31, 2009 is primarily a result of reduced subcontractor costs compared to the nine months ended December 31,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380"/>
        <w:spacing w:after="0" w:line="308" w:lineRule="auto"/>
        <w:rPr>
          <w:sz w:val="20"/>
          <w:szCs w:val="20"/>
          <w:color w:val="auto"/>
        </w:rPr>
      </w:pPr>
      <w:r>
        <w:rPr>
          <w:rFonts w:ascii="Arial" w:cs="Arial" w:eastAsia="Arial" w:hAnsi="Arial"/>
          <w:sz w:val="17"/>
          <w:szCs w:val="17"/>
          <w:color w:val="auto"/>
        </w:rPr>
        <w:t>Unallocated corporate expenses include stock-based compensation expense of $3.5 million and $10.4 million in the three and nine months ended December 31, 2009, respectively, compared to $2.4 million and $7.6 million for the three and nine months ended December 31,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expenses/Interest income</w:t>
      </w:r>
    </w:p>
    <w:p>
      <w:pPr>
        <w:spacing w:after="0" w:line="117" w:lineRule="exact"/>
        <w:rPr>
          <w:sz w:val="20"/>
          <w:szCs w:val="20"/>
          <w:color w:val="auto"/>
        </w:rPr>
      </w:pPr>
    </w:p>
    <w:p>
      <w:pPr>
        <w:jc w:val="both"/>
        <w:ind w:firstLine="283"/>
        <w:spacing w:after="0" w:line="264" w:lineRule="auto"/>
        <w:rPr>
          <w:sz w:val="20"/>
          <w:szCs w:val="20"/>
          <w:color w:val="auto"/>
        </w:rPr>
      </w:pPr>
      <w:r>
        <w:rPr>
          <w:rFonts w:ascii="Arial" w:cs="Arial" w:eastAsia="Arial" w:hAnsi="Arial"/>
          <w:sz w:val="18"/>
          <w:szCs w:val="18"/>
          <w:color w:val="auto"/>
        </w:rPr>
        <w:t>Interest income decreased to $0.2 million and $0.6 million in the three and nine months ended December 31, 2009, respectively, from $0.7 million and $2.3 million in the same periods of fiscal 2008, primarily due to lower interest rates, as we are investing in more conservative assets due to the current economic environment.</w:t>
      </w:r>
    </w:p>
    <w:p>
      <w:pPr>
        <w:spacing w:after="0" w:line="73" w:lineRule="exact"/>
        <w:rPr>
          <w:sz w:val="20"/>
          <w:szCs w:val="20"/>
          <w:color w:val="auto"/>
        </w:rPr>
      </w:pPr>
    </w:p>
    <w:p>
      <w:pPr>
        <w:jc w:val="both"/>
        <w:ind w:firstLine="227"/>
        <w:spacing w:after="0" w:line="273" w:lineRule="auto"/>
        <w:rPr>
          <w:sz w:val="20"/>
          <w:szCs w:val="20"/>
          <w:color w:val="auto"/>
        </w:rPr>
      </w:pPr>
      <w:r>
        <w:rPr>
          <w:rFonts w:ascii="Arial" w:cs="Arial" w:eastAsia="Arial" w:hAnsi="Arial"/>
          <w:sz w:val="17"/>
          <w:szCs w:val="17"/>
          <w:color w:val="auto"/>
        </w:rPr>
        <w:t>Other income (expense), net, was income of $0.2 million and expense of $2.7 million in the three and nine months ended December 31, 2009, respectively, compared to expense of $0.4 million and $2.4 million for the three and nine months ended December 31, 2008, respectively. Other income (expense), net, for the three and nine months ended December 31, 2009 primarily relates to net foreign currency transaction and translation gains and losses as well as net realized and unrealized gains and losses on hedging contracts. Other income (expense), net, for the three and nine months ended December 31, 2008 primarily relates to net foreign currency transaction and translation gains and losses as well as $1.3 million charged to expense from mark-to-market adjustments on a warrant held by Provident Premier Master Fund.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293"/>
        <w:spacing w:after="0" w:line="259" w:lineRule="auto"/>
        <w:rPr>
          <w:sz w:val="20"/>
          <w:szCs w:val="20"/>
          <w:color w:val="auto"/>
        </w:rPr>
      </w:pPr>
      <w:r>
        <w:rPr>
          <w:rFonts w:ascii="Arial" w:cs="Arial" w:eastAsia="Arial" w:hAnsi="Arial"/>
          <w:sz w:val="18"/>
          <w:szCs w:val="18"/>
          <w:color w:val="auto"/>
        </w:rPr>
        <w:t>In the three and nine months ended December 31, 2009, we recorded income tax expense of $5.6 million and $13.8 million, respectively, compared to $2.3 million and $5.6 million in the three and nine months ended December 31, 2008, respectively. Income tax expense in all periods was driven primarily by income generated in foreign jurisdictions. We incurred losses in the U.S. during the three and nine months ended December 31, 2009 and 2008 for which no tax benefit was recognized.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jc w:val="both"/>
        <w:ind w:firstLine="303"/>
        <w:spacing w:after="0" w:line="259"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10-Q, however, should be considered in addition to, and not as a substitute for or superior to the comparable measure prepared in accordance with GAAP.</w:t>
      </w:r>
    </w:p>
    <w:p>
      <w:pPr>
        <w:spacing w:after="0" w:line="79" w:lineRule="exact"/>
        <w:rPr>
          <w:sz w:val="20"/>
          <w:szCs w:val="20"/>
          <w:color w:val="auto"/>
        </w:rPr>
      </w:pPr>
    </w:p>
    <w:p>
      <w:pPr>
        <w:jc w:val="both"/>
        <w:ind w:firstLine="257"/>
        <w:spacing w:after="0" w:line="297" w:lineRule="auto"/>
        <w:rPr>
          <w:sz w:val="20"/>
          <w:szCs w:val="20"/>
          <w:color w:val="auto"/>
        </w:rPr>
      </w:pPr>
      <w:r>
        <w:rPr>
          <w:rFonts w:ascii="Arial" w:cs="Arial" w:eastAsia="Arial" w:hAnsi="Arial"/>
          <w:sz w:val="16"/>
          <w:szCs w:val="16"/>
          <w:color w:val="auto"/>
        </w:rPr>
        <w:t>We define non-GAAP net income (loss) as net income (loss) before amortization of acquisition-related intangibles, restructuring and impairments, stock-based compensation, re-valuation of stock warrants, other unusual charges and any tax effects related to these items. We believe non-GAAP net income (loss) is an important measurement for management and investors given the effect that these non-cash or non-recurring charges have on our net income (loss). We regard non-GAAP net income (loss) as a useful measure of operating performance which more closely aligns net income with cash earnings generated by continuing operations. A reconciliation of non-GAAP to GAAP net income (loss) is set forth in the table below (in thousands, except per share data):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5,179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11,311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Amortization of acquisition-related intangibles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473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3,522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2,392</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10,440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Re-valuation of stock warrants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Tax effects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9,078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23,303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tcPr>
          <w:p>
            <w:pPr>
              <w:spacing w:after="0"/>
              <w:rPr>
                <w:sz w:val="20"/>
                <w:szCs w:val="20"/>
                <w:color w:val="auto"/>
              </w:rPr>
            </w:pPr>
            <w:r>
              <w:rPr>
                <w:rFonts w:ascii="Arial" w:cs="Arial" w:eastAsia="Arial" w:hAnsi="Arial"/>
                <w:sz w:val="18"/>
                <w:szCs w:val="18"/>
                <w:color w:val="auto"/>
              </w:rPr>
              <w:t>Non-GAAP earnings (loss) per share</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0.20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(0.11)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0.52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45,566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43,024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45,072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shares are used for periods where non-GAAP net income is generated.</w:t>
      </w:r>
    </w:p>
    <w:p>
      <w:pPr>
        <w:spacing w:after="0" w:line="117" w:lineRule="exact"/>
        <w:rPr>
          <w:sz w:val="20"/>
          <w:szCs w:val="20"/>
          <w:color w:val="auto"/>
        </w:rPr>
      </w:pPr>
    </w:p>
    <w:p>
      <w:pPr>
        <w:jc w:val="both"/>
        <w:ind w:firstLine="348"/>
        <w:spacing w:after="0" w:line="257" w:lineRule="auto"/>
        <w:rPr>
          <w:sz w:val="20"/>
          <w:szCs w:val="20"/>
          <w:color w:val="auto"/>
        </w:rPr>
      </w:pPr>
      <w:r>
        <w:rPr>
          <w:rFonts w:ascii="Arial" w:cs="Arial" w:eastAsia="Arial" w:hAnsi="Arial"/>
          <w:sz w:val="18"/>
          <w:szCs w:val="18"/>
          <w:color w:val="auto"/>
        </w:rPr>
        <w:t>We generated non-GAAP net income of $9.1 million and $23.3 million, or $0.20 and $0.52 per diluted share for the three and nine months ended December 31, 2009, respectively, compared to a non-GAAP net loss of $4.9 million and $7.2 million, or $0.11 and $0.17 per share for the three and nine months ended December 31, 2008, respectively. The increases in non-GAAP net income in all periods were driven primarily by higher net income and higher stock-based compensation expense which was added back to net income. The increases in stock-based compensation expense in all periods were due primarily to higher stock prices at the time stock grants were made in fiscal 2009.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218"/>
        <w:spacing w:after="0" w:line="342" w:lineRule="auto"/>
        <w:rPr>
          <w:sz w:val="20"/>
          <w:szCs w:val="20"/>
          <w:color w:val="auto"/>
        </w:rPr>
      </w:pPr>
      <w:r>
        <w:rPr>
          <w:rFonts w:ascii="Arial" w:cs="Arial" w:eastAsia="Arial" w:hAnsi="Arial"/>
          <w:sz w:val="16"/>
          <w:szCs w:val="16"/>
          <w:color w:val="auto"/>
        </w:rPr>
        <w:t>At December 31, 2009, we had cash, cash equivalents, marketable securities and restricted cash of $112.8 million compared to $117.2 million at March 31, 2009, a decrease of $4.4 million. Our cash and cash equivalents, marketable securities and restricted cash are summarized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9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40,383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70,674</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66,594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39,255</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7,278</w:t>
            </w:r>
          </w:p>
        </w:tc>
      </w:tr>
      <w:tr>
        <w:trPr>
          <w:trHeight w:val="223"/>
        </w:trPr>
        <w:tc>
          <w:tcPr>
            <w:tcW w:w="9120" w:type="dxa"/>
            <w:vAlign w:val="bottom"/>
          </w:tcPr>
          <w:p>
            <w:pPr>
              <w:ind w:left="220"/>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112,779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117,207</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94"/>
        <w:spacing w:after="0" w:line="264" w:lineRule="auto"/>
        <w:rPr>
          <w:sz w:val="20"/>
          <w:szCs w:val="20"/>
          <w:color w:val="auto"/>
        </w:rPr>
      </w:pPr>
      <w:r>
        <w:rPr>
          <w:rFonts w:ascii="Arial" w:cs="Arial" w:eastAsia="Arial" w:hAnsi="Arial"/>
          <w:sz w:val="18"/>
          <w:szCs w:val="18"/>
          <w:color w:val="auto"/>
        </w:rPr>
        <w:t>The decrease in cash and cash equivalents, marketable securities and restricted cash at December 31, 2009 from March 31, 2009 was primarily due to timing differences in payments and a resulting increase in accounts receivable from Sinovel Wind Corporation, Ltd. for shipments of core components late in the third quarter for which we collected a majority of the balance in January 2010.</w:t>
      </w:r>
    </w:p>
    <w:p>
      <w:pPr>
        <w:spacing w:after="0" w:line="73" w:lineRule="exact"/>
        <w:rPr>
          <w:sz w:val="20"/>
          <w:szCs w:val="20"/>
          <w:color w:val="auto"/>
        </w:rPr>
      </w:pPr>
    </w:p>
    <w:p>
      <w:pPr>
        <w:jc w:val="both"/>
        <w:ind w:firstLine="236"/>
        <w:spacing w:after="0" w:line="264" w:lineRule="auto"/>
        <w:rPr>
          <w:sz w:val="20"/>
          <w:szCs w:val="20"/>
          <w:color w:val="auto"/>
        </w:rPr>
      </w:pPr>
      <w:r>
        <w:rPr>
          <w:rFonts w:ascii="Arial" w:cs="Arial" w:eastAsia="Arial" w:hAnsi="Arial"/>
          <w:sz w:val="18"/>
          <w:szCs w:val="18"/>
          <w:color w:val="auto"/>
        </w:rPr>
        <w:t>For the nine months ended December 31, 2009, net cash used by operating activities was $1.1 million compared to $0.8 million for the nine months ended December 31, 2008. A decrease of working capital of $29.0 million, due primarily to increased Accounts receivable as described above partially offset by an increase of Net income of $29.3 million.</w:t>
      </w:r>
    </w:p>
    <w:p>
      <w:pPr>
        <w:spacing w:after="0" w:line="73" w:lineRule="exact"/>
        <w:rPr>
          <w:sz w:val="20"/>
          <w:szCs w:val="20"/>
          <w:color w:val="auto"/>
        </w:rPr>
      </w:pPr>
    </w:p>
    <w:p>
      <w:pPr>
        <w:jc w:val="both"/>
        <w:ind w:firstLine="227"/>
        <w:spacing w:after="0" w:line="264" w:lineRule="auto"/>
        <w:rPr>
          <w:sz w:val="20"/>
          <w:szCs w:val="20"/>
          <w:color w:val="auto"/>
        </w:rPr>
      </w:pPr>
      <w:r>
        <w:rPr>
          <w:rFonts w:ascii="Arial" w:cs="Arial" w:eastAsia="Arial" w:hAnsi="Arial"/>
          <w:sz w:val="18"/>
          <w:szCs w:val="18"/>
          <w:color w:val="auto"/>
        </w:rPr>
        <w:t>For the nine months ended December 31, 2009, net cash used in investing activities was $36.3 million compared to $21.7 million in the nine months ended December 31, 2008. The increase in cash used in investing activities was driven primarily by higher capital expenditures and a net increase in marketable securities during the first nine months of fiscal 2009.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276"/>
        <w:spacing w:after="0" w:line="277" w:lineRule="auto"/>
        <w:rPr>
          <w:sz w:val="20"/>
          <w:szCs w:val="20"/>
          <w:color w:val="auto"/>
        </w:rPr>
      </w:pPr>
      <w:r>
        <w:rPr>
          <w:rFonts w:ascii="Arial" w:cs="Arial" w:eastAsia="Arial" w:hAnsi="Arial"/>
          <w:sz w:val="18"/>
          <w:szCs w:val="18"/>
          <w:color w:val="auto"/>
        </w:rPr>
        <w:t>For the nine months ended December 31, 2009, cash provided by financing activities was $6.0 million compared to $12.2 million in the same period of fiscal 2008. The decrease was due to a reduction in proceeds from the exercise of employee stock options.</w:t>
      </w:r>
    </w:p>
    <w:p>
      <w:pPr>
        <w:spacing w:after="0" w:line="62" w:lineRule="exact"/>
        <w:rPr>
          <w:sz w:val="20"/>
          <w:szCs w:val="20"/>
          <w:color w:val="auto"/>
        </w:rPr>
      </w:pPr>
    </w:p>
    <w:p>
      <w:pPr>
        <w:jc w:val="both"/>
        <w:ind w:firstLine="275"/>
        <w:spacing w:after="0" w:line="264" w:lineRule="auto"/>
        <w:rPr>
          <w:sz w:val="20"/>
          <w:szCs w:val="20"/>
          <w:color w:val="auto"/>
        </w:rPr>
      </w:pPr>
      <w:r>
        <w:rPr>
          <w:rFonts w:ascii="Arial" w:cs="Arial" w:eastAsia="Arial" w:hAnsi="Arial"/>
          <w:sz w:val="18"/>
          <w:szCs w:val="18"/>
          <w:color w:val="auto"/>
        </w:rPr>
        <w:t>Although our cash requirements fluctuate based on a variety of factors, including customer adoption of our products and our research and development efforts to commercialize our products, we believe that our available cash will be sufficient to fund our working capital, capital expenditures, and other cash requirements for at least the next twelve months.</w:t>
      </w:r>
    </w:p>
    <w:p>
      <w:pPr>
        <w:spacing w:after="0" w:line="73" w:lineRule="exact"/>
        <w:rPr>
          <w:sz w:val="20"/>
          <w:szCs w:val="20"/>
          <w:color w:val="auto"/>
        </w:rPr>
      </w:pPr>
    </w:p>
    <w:p>
      <w:pPr>
        <w:jc w:val="both"/>
        <w:ind w:firstLine="231"/>
        <w:spacing w:after="0" w:line="259" w:lineRule="auto"/>
        <w:rPr>
          <w:sz w:val="20"/>
          <w:szCs w:val="20"/>
          <w:color w:val="auto"/>
        </w:rPr>
      </w:pPr>
      <w:r>
        <w:rPr>
          <w:rFonts w:ascii="Arial" w:cs="Arial" w:eastAsia="Arial" w:hAnsi="Arial"/>
          <w:sz w:val="18"/>
          <w:szCs w:val="18"/>
          <w:color w:val="auto"/>
        </w:rPr>
        <w:t>We also have unused, unsecured lines of credit of €0.5 million (approximately $0.7 million), which is available until June 30, 2010, and CNY 17.5 million (approximately $2.6 million) which is available until June 30, 2012. We were able to reduce our long term restricted cash in the U.S. during the three months ended December 31, 2009 through the establishment of credit relationships with a number of U.S. banks. We also have an additional $1.6 million in bank guarantees and letters of credit supported by unsecured lines of credit.</w:t>
      </w:r>
    </w:p>
    <w:p>
      <w:pPr>
        <w:spacing w:after="0" w:line="79" w:lineRule="exact"/>
        <w:rPr>
          <w:sz w:val="20"/>
          <w:szCs w:val="20"/>
          <w:color w:val="auto"/>
        </w:rPr>
      </w:pPr>
    </w:p>
    <w:p>
      <w:pPr>
        <w:jc w:val="both"/>
        <w:ind w:firstLine="252"/>
        <w:spacing w:after="0" w:line="277" w:lineRule="auto"/>
        <w:rPr>
          <w:sz w:val="20"/>
          <w:szCs w:val="20"/>
          <w:color w:val="auto"/>
        </w:rPr>
      </w:pPr>
      <w:r>
        <w:rPr>
          <w:rFonts w:ascii="Arial" w:cs="Arial" w:eastAsia="Arial" w:hAnsi="Arial"/>
          <w:sz w:val="18"/>
          <w:szCs w:val="18"/>
          <w:color w:val="auto"/>
        </w:rPr>
        <w:t>The possibility exists that we may pursue additional acquisition and joint venture opportunities in the future that may affect liquidity and capital resource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firstLine="403"/>
        <w:spacing w:after="0" w:line="264"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73" w:lineRule="exact"/>
        <w:rPr>
          <w:sz w:val="20"/>
          <w:szCs w:val="20"/>
          <w:color w:val="auto"/>
        </w:rPr>
      </w:pPr>
    </w:p>
    <w:p>
      <w:pPr>
        <w:jc w:val="both"/>
        <w:ind w:firstLine="253"/>
        <w:spacing w:after="0" w:line="264" w:lineRule="auto"/>
        <w:rPr>
          <w:sz w:val="20"/>
          <w:szCs w:val="20"/>
          <w:color w:val="auto"/>
        </w:rPr>
      </w:pPr>
      <w:r>
        <w:rPr>
          <w:rFonts w:ascii="Arial" w:cs="Arial" w:eastAsia="Arial" w:hAnsi="Arial"/>
          <w:sz w:val="18"/>
          <w:szCs w:val="18"/>
          <w:color w:val="auto"/>
        </w:rPr>
        <w:t>We occasionally enter into construction contracts that include a performance bond. As these contracts progress, we continually assess the probability of a payout from the performance bond. Should we determine that such a payout is likely, we would record a liability. As of December 31, 2009, there were no recorded performance-based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jc w:val="both"/>
        <w:ind w:firstLine="254"/>
        <w:spacing w:after="0" w:line="273" w:lineRule="auto"/>
        <w:rPr>
          <w:sz w:val="20"/>
          <w:szCs w:val="20"/>
          <w:color w:val="auto"/>
        </w:rPr>
      </w:pPr>
      <w:r>
        <w:rPr>
          <w:rFonts w:ascii="Arial" w:cs="Arial" w:eastAsia="Arial" w:hAnsi="Arial"/>
          <w:sz w:val="17"/>
          <w:szCs w:val="17"/>
          <w:color w:val="auto"/>
        </w:rPr>
        <w:t>In June 2008, the Financial Accounting Standards Boards (“FASB”) issued guidance in determining whether instruments granted in share-based payment transactions are participating securities for purposes of calculating earnings per share. Under the provisions of this standard, unvested awards of share-based payments with non-forfeitable rights to receive dividends or dividend equivalents are considered participating securities for purposes of calculating earnings per share. This accounting standard is effective for financial statements issued for fiscal years beginning after December 15, 2008, and interim periods within those years. We adopted this standard on April 1, 2009. The adoption required us to modify its prior year weighted average number of common shares outstanding but did not have a material effect on our financial condition or results of operations.</w:t>
      </w:r>
    </w:p>
    <w:p>
      <w:pPr>
        <w:spacing w:after="0" w:line="70" w:lineRule="exact"/>
        <w:rPr>
          <w:sz w:val="20"/>
          <w:szCs w:val="20"/>
          <w:color w:val="auto"/>
        </w:rPr>
      </w:pPr>
    </w:p>
    <w:p>
      <w:pPr>
        <w:jc w:val="both"/>
        <w:ind w:firstLine="290"/>
        <w:spacing w:after="0" w:line="290" w:lineRule="auto"/>
        <w:rPr>
          <w:sz w:val="20"/>
          <w:szCs w:val="20"/>
          <w:color w:val="auto"/>
        </w:rPr>
      </w:pPr>
      <w:r>
        <w:rPr>
          <w:rFonts w:ascii="Arial" w:cs="Arial" w:eastAsia="Arial" w:hAnsi="Arial"/>
          <w:sz w:val="16"/>
          <w:szCs w:val="16"/>
          <w:color w:val="auto"/>
        </w:rPr>
        <w:t>In April 2009, the FASB issued a standard, which amends and clarifies a previous standard for business combinations, to address application issues on initial recognition and measurement, subsequent measurement and accounting, and disclosure of assets and liabilities arising from contingencies in a business combination. Under this standard, an acquirer is required to recognize at fair value an asset acquired or liability assumed in a business combination that arises from a contingency if the acquisition date fair value can be determined during the measurement period. If the acquisition date fair value cannot be determined, then the acquirer applies the recognition criteria in accounting for contingencies, and makes a reasonable estimation of the amount of a loss, to determine whether the contingency should be recognized as of the acquisition date or after it. The adoption of this standard could materially change the accounting for business combinations consummated subsequent to its effective date of April 1, 2009. On April 1, 2009, we adopted the provisions of this standard and the results of adoption did not have a material effect on our financial condition or results of operations.</w:t>
      </w:r>
    </w:p>
    <w:p>
      <w:pPr>
        <w:spacing w:after="0" w:line="58" w:lineRule="exact"/>
        <w:rPr>
          <w:sz w:val="20"/>
          <w:szCs w:val="20"/>
          <w:color w:val="auto"/>
        </w:rPr>
      </w:pPr>
    </w:p>
    <w:p>
      <w:pPr>
        <w:jc w:val="both"/>
        <w:ind w:firstLine="385"/>
        <w:spacing w:after="0" w:line="312" w:lineRule="auto"/>
        <w:rPr>
          <w:sz w:val="20"/>
          <w:szCs w:val="20"/>
          <w:color w:val="auto"/>
        </w:rPr>
      </w:pPr>
      <w:r>
        <w:rPr>
          <w:rFonts w:ascii="Arial" w:cs="Arial" w:eastAsia="Arial" w:hAnsi="Arial"/>
          <w:sz w:val="16"/>
          <w:szCs w:val="16"/>
          <w:color w:val="auto"/>
        </w:rPr>
        <w:t>In June 2009, the FASB issued the FASB Accounting Standards Codification (“Codification”). The Codification became the single source for all authoritative U.S. generally accepted accounting principles (“U.S. GAAP”) recognized by the FASB to be applied for financial statements issued for periods ending after September 15, 2009. The Codification does not change U.S. GAAP and will not have an effect on our financial condition or results of operations.</w:t>
      </w:r>
    </w:p>
    <w:p>
      <w:pPr>
        <w:spacing w:after="0" w:line="39" w:lineRule="exact"/>
        <w:rPr>
          <w:sz w:val="20"/>
          <w:szCs w:val="20"/>
          <w:color w:val="auto"/>
        </w:rPr>
      </w:pPr>
    </w:p>
    <w:p>
      <w:pPr>
        <w:jc w:val="both"/>
        <w:ind w:firstLine="290"/>
        <w:spacing w:after="0" w:line="259" w:lineRule="auto"/>
        <w:rPr>
          <w:sz w:val="20"/>
          <w:szCs w:val="20"/>
          <w:color w:val="auto"/>
        </w:rPr>
      </w:pPr>
      <w:r>
        <w:rPr>
          <w:rFonts w:ascii="Arial" w:cs="Arial" w:eastAsia="Arial" w:hAnsi="Arial"/>
          <w:sz w:val="18"/>
          <w:szCs w:val="18"/>
          <w:color w:val="auto"/>
        </w:rPr>
        <w:t>In July 2009, the FASB issued new guidance for all U.S. GAAP financial statements for public and private companies, which significantly amends the existing consolidation accounting model for variable interest entities, and includes extensive new disclosure requirements. This new guidance is effective for fiscal years (and interim periods in those fiscal years) beginning after November 15, 2009. We do not currently have a variable interest entity and do not expect this standard to have a material impact on our financial condition or results of operations.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282"/>
        <w:spacing w:after="0" w:line="255" w:lineRule="auto"/>
        <w:rPr>
          <w:sz w:val="20"/>
          <w:szCs w:val="20"/>
          <w:color w:val="auto"/>
        </w:rPr>
      </w:pPr>
      <w:r>
        <w:rPr>
          <w:rFonts w:ascii="Arial" w:cs="Arial" w:eastAsia="Arial" w:hAnsi="Arial"/>
          <w:sz w:val="18"/>
          <w:szCs w:val="18"/>
          <w:color w:val="auto"/>
        </w:rPr>
        <w:t>In September 2009, the Emerging Issues Task Force issued new rules pertaining to the accounting for revenue arrangements with multiple deliverables. The new rules provide an alternative method for establishing fair value of a deliverable when vendor specific objective evidence or third party evidence cannot be determined. The rules provide for the determination of the best estimate of selling price of separate deliverables and allow the allocation of arrangement consideration using this relative selling price model. The rules supersedes the prior multiple element revenue arrangement accounting rules that are currently used by us. The new rules can be prospectively applied beginning January 1, 2011 or can be earlier or retrospectively adopted. We are currently evaluating the impact of adopting the rules.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73"/>
        <w:spacing w:after="0" w:line="308" w:lineRule="auto"/>
        <w:rPr>
          <w:sz w:val="20"/>
          <w:szCs w:val="20"/>
          <w:color w:val="auto"/>
        </w:rPr>
      </w:pPr>
      <w:r>
        <w:rPr>
          <w:rFonts w:ascii="Arial" w:cs="Arial" w:eastAsia="Arial" w:hAnsi="Arial"/>
          <w:sz w:val="17"/>
          <w:szCs w:val="17"/>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ind w:firstLine="252"/>
        <w:spacing w:after="0" w:line="302" w:lineRule="auto"/>
        <w:rPr>
          <w:sz w:val="20"/>
          <w:szCs w:val="20"/>
          <w:color w:val="auto"/>
        </w:rPr>
      </w:pPr>
      <w:r>
        <w:rPr>
          <w:rFonts w:ascii="Arial" w:cs="Arial" w:eastAsia="Arial" w:hAnsi="Arial"/>
          <w:sz w:val="16"/>
          <w:szCs w:val="16"/>
          <w:color w:val="auto"/>
        </w:rPr>
        <w:t>Our exposure to market risk through financial instruments, such as investments in marketable securities, is limited to interest rate risk and is not material. Our investments in marketable securities consist primarily of federal government and government agency obligations and high quality short term commercial paper and are designed, in order of priority, to preserve principal, provide liquidity, and maximize income. Interest rates are variable and fluctuate with current market conditions. We do not believe that a 10% change in interest rates would have a material impact on our financial position or results of operation.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jc w:val="both"/>
        <w:ind w:firstLine="228"/>
        <w:spacing w:after="0" w:line="264" w:lineRule="auto"/>
        <w:rPr>
          <w:sz w:val="20"/>
          <w:szCs w:val="20"/>
          <w:color w:val="auto"/>
        </w:rPr>
      </w:pPr>
      <w:r>
        <w:rPr>
          <w:rFonts w:ascii="Arial" w:cs="Arial" w:eastAsia="Arial" w:hAnsi="Arial"/>
          <w:sz w:val="18"/>
          <w:szCs w:val="18"/>
          <w:color w:val="auto"/>
        </w:rPr>
        <w:t>Our earnings and cash flows are subject to fluctuations due to changes in foreign currency exchange rates. Our most significant foreign currency exposures relate to our Austrian and Chinese subsidiaries. We enter into various hedging transactions to manage this risk. We do not enter into or hold foreign currency derivative financial instruments for trading or speculative purposes.</w:t>
      </w:r>
    </w:p>
    <w:p>
      <w:pPr>
        <w:spacing w:after="0" w:line="73" w:lineRule="exact"/>
        <w:rPr>
          <w:sz w:val="20"/>
          <w:szCs w:val="20"/>
          <w:color w:val="auto"/>
        </w:rPr>
      </w:pPr>
    </w:p>
    <w:p>
      <w:pPr>
        <w:jc w:val="both"/>
        <w:ind w:firstLine="254"/>
        <w:spacing w:after="0" w:line="293" w:lineRule="auto"/>
        <w:rPr>
          <w:sz w:val="20"/>
          <w:szCs w:val="20"/>
          <w:color w:val="auto"/>
        </w:rPr>
      </w:pPr>
      <w:r>
        <w:rPr>
          <w:rFonts w:ascii="Arial" w:cs="Arial" w:eastAsia="Arial" w:hAnsi="Arial"/>
          <w:sz w:val="16"/>
          <w:szCs w:val="16"/>
          <w:color w:val="auto"/>
        </w:rPr>
        <w:t>The functional currency of all our foreign entities is the U.S. dollar, except for our wholly-owned Austrian subsidiary, AMSC Windtec GmbH, for which the local currency (Euro) is the functional currency, and our wholly-owned Chinese subsidiary, Suzhou AMSC Superconductor Co., Ltd., for which the local currency (renminbi) is the functional currency. We monitor foreign currency exposures and hedge currency risk when deemed appropriate. Cumulative translation adjustments are excluded from net loss and reported as a separate component of stockholders’ equity. Foreign currency transaction and translation losses were $2.1 million for the nine months ended December 31, 2009. Future operating results could be impacted by material foreign currency fluctuations. In the future, should foreign currency fluctuations become material, management will review options to limit the financial impact to our operations.</w:t>
      </w:r>
    </w:p>
    <w:p>
      <w:pPr>
        <w:spacing w:after="0" w:line="57"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Our foreign currency risk management strategy is principally designed to mitigate the potential financial impact of changes in the value of transactions and balances denominated in foreign currency, resulting from changes in foreign currency exchange rates. Our foreign currency hedging program uses forward contracts and currency options to manage the foreign currency exposures that exist as part of our ongoing business operations. The contracts primarily are denominated in Euros and Chinese renminbi (“CNY”) and have maturities of less than six months. On December 31, 2009, we had a forward contract outstanding to hedge our wholly-owned Austrian subsidiary, AMSC Windtec GmbH (“Windtec”) USD exposure, with a nominal value of $25.0 million, which expired on January 29, 2010. The forward contract sold US dollars and bought Euros at $1.4423. We also had two forward contracts outstanding to hedge receivables exposure at our wholly-owned China subsidiary, Suzhou AMSC Superconductor Co., Ltd., selling CNY and buying USD at $6.797 and $6.772, respectively, with nominal values of $15.0 million each, which expire on March 31, 2010 and April 30, 2010, respectively. Generally, we do not designate forward contracts and currency option contracts as hedges for accounting purposes, and changes in the fair value of these instruments are recognized immediately in earnings. Gains and losses on these contracts are included in Other income (expense), net.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235"/>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December 31, 2009. The term “disclosure controls and 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December 31, 2009, our chief executive officer and chief financial officer concluded that, as of such date, our disclosure controls and procedures were effective at the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0" w:firstLine="318"/>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December 31, 2009 that has materially affected, or is reasonably likely to materially affect, our internal control over financial reporting.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253"/>
        <w:spacing w:after="0" w:line="286" w:lineRule="auto"/>
        <w:rPr>
          <w:sz w:val="20"/>
          <w:szCs w:val="20"/>
          <w:color w:val="auto"/>
        </w:rPr>
      </w:pPr>
      <w:r>
        <w:rPr>
          <w:rFonts w:ascii="Arial" w:cs="Arial" w:eastAsia="Arial" w:hAnsi="Arial"/>
          <w:sz w:val="17"/>
          <w:szCs w:val="17"/>
          <w:color w:val="auto"/>
        </w:rPr>
        <w:t>Investing in our common stock involves a high degree of risk. You should carefully consider the risks and uncertainties described in our annual report on Form 10-K for the year ended March 31, 2009 in addition to the other information included in this quarterly report. If any of the risks actually occurs, our business, financial condition or results of operations would likely suffer. In that case, the trading price of our common stock could fall.</w:t>
      </w:r>
    </w:p>
    <w:p>
      <w:pPr>
        <w:spacing w:after="0" w:line="57" w:lineRule="exact"/>
        <w:rPr>
          <w:sz w:val="20"/>
          <w:szCs w:val="20"/>
          <w:color w:val="auto"/>
        </w:rPr>
      </w:pPr>
    </w:p>
    <w:p>
      <w:pPr>
        <w:jc w:val="both"/>
        <w:ind w:firstLine="293"/>
        <w:spacing w:after="0" w:line="264" w:lineRule="auto"/>
        <w:rPr>
          <w:sz w:val="20"/>
          <w:szCs w:val="20"/>
          <w:color w:val="auto"/>
        </w:rPr>
      </w:pPr>
      <w:r>
        <w:rPr>
          <w:rFonts w:ascii="Arial" w:cs="Arial" w:eastAsia="Arial" w:hAnsi="Arial"/>
          <w:sz w:val="18"/>
          <w:szCs w:val="18"/>
          <w:color w:val="auto"/>
        </w:rPr>
        <w:t>During the quarter ended December 31, 2009, there were no material changes to the risk factors disclosed in our Annual Report on Form 10-K for the fiscal year ended March 31, 2009, although we may disclose changes to such risk factors or disclose additional risk factors from time to time in our future filings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8"/>
          <w:szCs w:val="18"/>
          <w:color w:val="auto"/>
        </w:rPr>
        <w:t>On October 9, 2009, we entered into a Unit Purchase Agreement with Tres Amigas, LLC, a Delaware limited liability company (“Tres Amigas”), pursuant to which we issued 31,878 shares of our common stock and made a cash payment in exchange for a minority equity interest in Tres Amigas. The issuance of our common stock described herein was exempt from registration requirements under the Securities Act of 1933, as amended, pursuant to Section 4(2) thereof, because the transaction did not involve a public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jc w:val="both"/>
        <w:ind w:firstLine="295"/>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which Exhibit Index is incorporated herein by this reference.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AMERICAN SUPERCONDUCTOR</w:t>
            </w:r>
          </w:p>
        </w:tc>
        <w:tc>
          <w:tcPr>
            <w:tcW w:w="1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CORPORATION</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February 3,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HENRY</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A. Henry</w:t>
            </w:r>
          </w:p>
        </w:tc>
        <w:tc>
          <w:tcPr>
            <w:tcW w:w="170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1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700" w:type="dxa"/>
            <w:vAlign w:val="bottom"/>
          </w:tcPr>
          <w:p>
            <w:pPr>
              <w:spacing w:after="0"/>
              <w:rPr>
                <w:sz w:val="20"/>
                <w:szCs w:val="20"/>
                <w:color w:val="auto"/>
              </w:rPr>
            </w:pPr>
          </w:p>
        </w:tc>
      </w:tr>
      <w:tr>
        <w:trPr>
          <w:trHeight w:val="405"/>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27</w:t>
            </w:r>
          </w:p>
        </w:tc>
        <w:tc>
          <w:tcPr>
            <w:tcW w:w="1700" w:type="dxa"/>
            <w:vAlign w:val="bottom"/>
          </w:tcPr>
          <w:p>
            <w:pPr>
              <w:spacing w:after="0"/>
              <w:rPr>
                <w:sz w:val="24"/>
                <w:szCs w:val="24"/>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jc w:val="center"/>
              <w:ind w:right="1271"/>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24"/>
                <w:szCs w:val="2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1"/>
        </w:trPr>
        <w:tc>
          <w:tcPr>
            <w:tcW w:w="1160" w:type="dxa"/>
            <w:vAlign w:val="bottom"/>
          </w:tcPr>
          <w:p>
            <w:pPr>
              <w:spacing w:after="0" w:line="191" w:lineRule="exact"/>
              <w:rPr>
                <w:sz w:val="20"/>
                <w:szCs w:val="20"/>
                <w:color w:val="auto"/>
              </w:rPr>
            </w:pPr>
            <w:r>
              <w:rPr>
                <w:rFonts w:ascii="Arial" w:cs="Arial" w:eastAsia="Arial" w:hAnsi="Arial"/>
                <w:sz w:val="18"/>
                <w:szCs w:val="18"/>
                <w:b w:val="1"/>
                <w:bCs w:val="1"/>
                <w:color w:val="auto"/>
              </w:rPr>
              <w:t>10.1</w:t>
            </w:r>
          </w:p>
        </w:tc>
        <w:tc>
          <w:tcPr>
            <w:tcW w:w="220" w:type="dxa"/>
            <w:vAlign w:val="bottom"/>
          </w:tcPr>
          <w:p>
            <w:pPr>
              <w:spacing w:after="0"/>
              <w:rPr>
                <w:sz w:val="16"/>
                <w:szCs w:val="16"/>
                <w:color w:val="auto"/>
              </w:rPr>
            </w:pPr>
          </w:p>
        </w:tc>
        <w:tc>
          <w:tcPr>
            <w:tcW w:w="10040" w:type="dxa"/>
            <w:vAlign w:val="bottom"/>
          </w:tcPr>
          <w:p>
            <w:pPr>
              <w:spacing w:after="0" w:line="191" w:lineRule="exact"/>
              <w:rPr>
                <w:sz w:val="20"/>
                <w:szCs w:val="20"/>
                <w:color w:val="auto"/>
              </w:rPr>
            </w:pPr>
            <w:r>
              <w:rPr>
                <w:rFonts w:ascii="Arial" w:cs="Arial" w:eastAsia="Arial" w:hAnsi="Arial"/>
                <w:sz w:val="18"/>
                <w:szCs w:val="18"/>
                <w:b w:val="1"/>
                <w:bCs w:val="1"/>
                <w:color w:val="auto"/>
                <w:w w:val="93"/>
              </w:rPr>
              <w:t>First Amendment to Amended and Restated Executive Severance Agreement, effective as of December 11, 2009, between the</w:t>
            </w:r>
          </w:p>
        </w:tc>
      </w:t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Registrant and Daniel P. McGahn</w:t>
            </w:r>
          </w:p>
        </w:tc>
      </w:tr>
      <w:tr>
        <w:trPr>
          <w:trHeight w:val="414"/>
        </w:trPr>
        <w:tc>
          <w:tcPr>
            <w:tcW w:w="1160" w:type="dxa"/>
            <w:vAlign w:val="bottom"/>
          </w:tcPr>
          <w:p>
            <w:pPr>
              <w:spacing w:after="0"/>
              <w:rPr>
                <w:sz w:val="20"/>
                <w:szCs w:val="20"/>
                <w:color w:val="auto"/>
              </w:rPr>
            </w:pPr>
            <w:r>
              <w:rPr>
                <w:rFonts w:ascii="Arial" w:cs="Arial" w:eastAsia="Arial" w:hAnsi="Arial"/>
                <w:sz w:val="18"/>
                <w:szCs w:val="18"/>
                <w:b w:val="1"/>
                <w:bCs w:val="1"/>
                <w:color w:val="auto"/>
              </w:rPr>
              <w:t>31.1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w w:val="93"/>
              </w:rPr>
              <w:t>Chief Executive Officer—Certification pursuant to Rule 13a-14(a) or Rule 15d-14(a) of the Securities Exchange Act of 1934, as</w:t>
            </w:r>
          </w:p>
        </w:tc>
      </w:t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adopted pursuant to Section 302 of the Sarbanes-Oxley Act of 2002.</w:t>
            </w:r>
          </w:p>
        </w:tc>
      </w:tr>
      <w:tr>
        <w:trPr>
          <w:trHeight w:val="414"/>
        </w:trPr>
        <w:tc>
          <w:tcPr>
            <w:tcW w:w="1160" w:type="dxa"/>
            <w:vAlign w:val="bottom"/>
          </w:tcPr>
          <w:p>
            <w:pPr>
              <w:spacing w:after="0"/>
              <w:rPr>
                <w:sz w:val="20"/>
                <w:szCs w:val="20"/>
                <w:color w:val="auto"/>
              </w:rPr>
            </w:pPr>
            <w:r>
              <w:rPr>
                <w:rFonts w:ascii="Arial" w:cs="Arial" w:eastAsia="Arial" w:hAnsi="Arial"/>
                <w:sz w:val="18"/>
                <w:szCs w:val="18"/>
                <w:b w:val="1"/>
                <w:bCs w:val="1"/>
                <w:color w:val="auto"/>
              </w:rPr>
              <w:t>31.2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w w:val="94"/>
              </w:rPr>
              <w:t>Chief Financial Officer—Certification pursuant to Rule 13a-14(a) or Rule 15d-14(a) of the Securities Exchange Act of 1934, as</w:t>
            </w:r>
          </w:p>
        </w:tc>
      </w:t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adopted pursuant to Section 302 of the Sarbanes-Oxley Act of 2002.</w:t>
            </w:r>
          </w:p>
        </w:tc>
      </w:tr>
      <w:tr>
        <w:trPr>
          <w:trHeight w:val="414"/>
        </w:trPr>
        <w:tc>
          <w:tcPr>
            <w:tcW w:w="1160" w:type="dxa"/>
            <w:vAlign w:val="bottom"/>
          </w:tcPr>
          <w:p>
            <w:pPr>
              <w:spacing w:after="0"/>
              <w:rPr>
                <w:sz w:val="20"/>
                <w:szCs w:val="20"/>
                <w:color w:val="auto"/>
              </w:rPr>
            </w:pPr>
            <w:r>
              <w:rPr>
                <w:rFonts w:ascii="Arial" w:cs="Arial" w:eastAsia="Arial" w:hAnsi="Arial"/>
                <w:sz w:val="18"/>
                <w:szCs w:val="18"/>
                <w:b w:val="1"/>
                <w:bCs w:val="1"/>
                <w:color w:val="auto"/>
              </w:rPr>
              <w:t>32.1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w w:val="91"/>
              </w:rPr>
              <w:t>Chief Executive Officer—Certification pursuant to Rule13a-14(b) or Rule 15d-14(b) of the Securities Exchange Act of 1934 and 18</w:t>
            </w:r>
          </w:p>
        </w:tc>
      </w:t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U.S.C. Section 1350, as adopted pursuant to Section 906 of the Sarbanes-Oxley Act of 2002.</w:t>
            </w:r>
          </w:p>
        </w:tc>
      </w:tr>
      <w:tr>
        <w:trPr>
          <w:trHeight w:val="414"/>
        </w:trPr>
        <w:tc>
          <w:tcPr>
            <w:tcW w:w="1160" w:type="dxa"/>
            <w:vAlign w:val="bottom"/>
          </w:tcPr>
          <w:p>
            <w:pPr>
              <w:spacing w:after="0"/>
              <w:rPr>
                <w:sz w:val="20"/>
                <w:szCs w:val="20"/>
                <w:color w:val="auto"/>
              </w:rPr>
            </w:pPr>
            <w:r>
              <w:rPr>
                <w:rFonts w:ascii="Arial" w:cs="Arial" w:eastAsia="Arial" w:hAnsi="Arial"/>
                <w:sz w:val="18"/>
                <w:szCs w:val="18"/>
                <w:b w:val="1"/>
                <w:bCs w:val="1"/>
                <w:color w:val="auto"/>
              </w:rPr>
              <w:t>32.2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w w:val="91"/>
              </w:rPr>
              <w:t>Chief Financial Officer—Certification pursuant to Rule 13a-14(b) or Rule 15d-14(b) of the Securities Exchange Act of 1934 and 18</w:t>
            </w:r>
          </w:p>
        </w:tc>
      </w:t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U.S.C. Section 1350, as adopted pursuant to Section 906 of the Sarbanes-Oxley Act of 2002.</w:t>
            </w:r>
          </w:p>
        </w:tc>
      </w:tr>
      <w:tr>
        <w:trPr>
          <w:trHeight w:val="405"/>
        </w:trPr>
        <w:tc>
          <w:tcPr>
            <w:tcW w:w="1160" w:type="dxa"/>
            <w:vAlign w:val="bottom"/>
          </w:tcPr>
          <w:p>
            <w:pPr>
              <w:spacing w:after="0"/>
              <w:rPr>
                <w:sz w:val="24"/>
                <w:szCs w:val="24"/>
                <w:color w:val="auto"/>
              </w:rPr>
            </w:pPr>
          </w:p>
        </w:tc>
        <w:tc>
          <w:tcPr>
            <w:tcW w:w="10260" w:type="dxa"/>
            <w:vAlign w:val="bottom"/>
            <w:gridSpan w:val="2"/>
          </w:tcPr>
          <w:p>
            <w:pPr>
              <w:jc w:val="right"/>
              <w:ind w:right="5531"/>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20"/>
          </w:cols>
          <w:pgMar w:left="240" w:top="419"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Amendment to Amended and Restated Executive Severance Agreement</w:t>
      </w:r>
    </w:p>
    <w:p>
      <w:pPr>
        <w:spacing w:after="0" w:line="117" w:lineRule="exact"/>
        <w:rPr>
          <w:sz w:val="20"/>
          <w:szCs w:val="20"/>
          <w:color w:val="auto"/>
        </w:rPr>
      </w:pPr>
    </w:p>
    <w:p>
      <w:pPr>
        <w:ind w:firstLine="455"/>
        <w:spacing w:after="0" w:line="308" w:lineRule="auto"/>
        <w:rPr>
          <w:sz w:val="20"/>
          <w:szCs w:val="20"/>
          <w:color w:val="auto"/>
        </w:rPr>
      </w:pPr>
      <w:r>
        <w:rPr>
          <w:rFonts w:ascii="Arial" w:cs="Arial" w:eastAsia="Arial" w:hAnsi="Arial"/>
          <w:sz w:val="17"/>
          <w:szCs w:val="17"/>
          <w:color w:val="auto"/>
        </w:rPr>
        <w:t>This First Amendment to Amended and Restated Executive Severance Agreement (“Amendment”) by and between American Superconductor Corporation, a Delaware corporation (the “Company”), and Daniel P. McGahn (the “Executive”) is made as of January 29, 2010.</w:t>
      </w:r>
    </w:p>
    <w:p>
      <w:pPr>
        <w:spacing w:after="0" w:line="38" w:lineRule="exact"/>
        <w:rPr>
          <w:sz w:val="20"/>
          <w:szCs w:val="20"/>
          <w:color w:val="auto"/>
        </w:rPr>
      </w:pPr>
    </w:p>
    <w:p>
      <w:pPr>
        <w:ind w:firstLine="279"/>
        <w:spacing w:after="0" w:line="277" w:lineRule="auto"/>
        <w:rPr>
          <w:sz w:val="20"/>
          <w:szCs w:val="20"/>
          <w:color w:val="auto"/>
        </w:rPr>
      </w:pPr>
      <w:r>
        <w:rPr>
          <w:rFonts w:ascii="Arial" w:cs="Arial" w:eastAsia="Arial" w:hAnsi="Arial"/>
          <w:sz w:val="18"/>
          <w:szCs w:val="18"/>
          <w:color w:val="auto"/>
        </w:rPr>
        <w:t>WHEREAS, the Company and the Executive are parties to an Amended and Restated Executive Severance Agreement, dated as of December 23, 2008 (the “Agreement”);</w:t>
      </w:r>
    </w:p>
    <w:p>
      <w:pPr>
        <w:spacing w:after="0" w:line="62" w:lineRule="exact"/>
        <w:rPr>
          <w:sz w:val="20"/>
          <w:szCs w:val="20"/>
          <w:color w:val="auto"/>
        </w:rPr>
      </w:pPr>
    </w:p>
    <w:p>
      <w:pPr>
        <w:ind w:right="20" w:firstLine="241"/>
        <w:spacing w:after="0" w:line="277" w:lineRule="auto"/>
        <w:rPr>
          <w:sz w:val="20"/>
          <w:szCs w:val="20"/>
          <w:color w:val="auto"/>
        </w:rPr>
      </w:pPr>
      <w:r>
        <w:rPr>
          <w:rFonts w:ascii="Arial" w:cs="Arial" w:eastAsia="Arial" w:hAnsi="Arial"/>
          <w:sz w:val="18"/>
          <w:szCs w:val="18"/>
          <w:color w:val="auto"/>
        </w:rPr>
        <w:t>WHEREAS, the Company promoted the Executive to President and Chief Operating Officer and adjusted the Executive’s severance payment period from 12 months to 18 months in connection therewith;</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parties desire to amend the Agreement to effectuate such adjustment to the Executive’s severance payment period; and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capitalized terms used herein and not otherwise defined herein shall have the meanings ascribed to them in the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in consideration of the mutual covenants contained herein, the Company and the Executive agree as follows:</w:t>
      </w:r>
    </w:p>
    <w:p>
      <w:pPr>
        <w:spacing w:after="0" w:line="117" w:lineRule="exact"/>
        <w:rPr>
          <w:sz w:val="20"/>
          <w:szCs w:val="20"/>
          <w:color w:val="auto"/>
        </w:rPr>
      </w:pPr>
    </w:p>
    <w:p>
      <w:pPr>
        <w:ind w:firstLine="271"/>
        <w:spacing w:after="0" w:line="277" w:lineRule="auto"/>
        <w:tabs>
          <w:tab w:leader="none" w:pos="451"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as of December 11, 2009, the definition of “Severance Period” set forth in Section 1.6 of the Agreement is hereby amended by deleting said section and by substituting therefor: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“‘Severance Period’ shall mean the period of 18 months immediately following the Date of Termination (as defined in Section 3.2(a) below).”</w:t>
      </w:r>
    </w:p>
    <w:p>
      <w:pPr>
        <w:spacing w:after="0" w:line="117" w:lineRule="exact"/>
        <w:rPr>
          <w:sz w:val="20"/>
          <w:szCs w:val="20"/>
          <w:color w:val="auto"/>
        </w:rPr>
      </w:pPr>
    </w:p>
    <w:p>
      <w:pPr>
        <w:ind w:firstLine="296"/>
        <w:spacing w:after="0" w:line="342" w:lineRule="auto"/>
        <w:tabs>
          <w:tab w:leader="none" w:pos="471"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other provisions of the Agreement shall remain in full force and effect according to their respective terms, and nothing contained herein shall be deemed a waiver of any right or abrogation of any obligation otherwise existing under the Agreement except to the extent specifically provided for herein.</w:t>
      </w:r>
    </w:p>
    <w:p>
      <w:pPr>
        <w:spacing w:after="0" w:line="15" w:lineRule="exact"/>
        <w:rPr>
          <w:rFonts w:ascii="Arial" w:cs="Arial" w:eastAsia="Arial" w:hAnsi="Arial"/>
          <w:sz w:val="16"/>
          <w:szCs w:val="16"/>
          <w:color w:val="auto"/>
        </w:rPr>
      </w:pPr>
    </w:p>
    <w:p>
      <w:pPr>
        <w:ind w:firstLine="390"/>
        <w:spacing w:after="0" w:line="277" w:lineRule="auto"/>
        <w:tabs>
          <w:tab w:leader="none" w:pos="590"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validity, interpretation, construction and performance of this Amendment shall be governed by the internal laws of the Commonwealth of Massachusetts, without regard to conflicts of law principles.</w:t>
      </w:r>
    </w:p>
    <w:p>
      <w:pPr>
        <w:spacing w:after="0" w:line="62" w:lineRule="exact"/>
        <w:rPr>
          <w:rFonts w:ascii="Arial" w:cs="Arial" w:eastAsia="Arial" w:hAnsi="Arial"/>
          <w:sz w:val="18"/>
          <w:szCs w:val="18"/>
          <w:color w:val="auto"/>
        </w:rPr>
      </w:pPr>
    </w:p>
    <w:p>
      <w:pPr>
        <w:ind w:right="20" w:firstLine="272"/>
        <w:spacing w:after="0" w:line="277" w:lineRule="auto"/>
        <w:tabs>
          <w:tab w:leader="none" w:pos="44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Agreement may be executed in counterparts, each of which shall be deemed to be an original but both of which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ind w:firstLine="225"/>
        <w:spacing w:after="0" w:line="277" w:lineRule="auto"/>
        <w:rPr>
          <w:sz w:val="20"/>
          <w:szCs w:val="20"/>
          <w:color w:val="auto"/>
        </w:rPr>
      </w:pPr>
      <w:r>
        <w:rPr>
          <w:rFonts w:ascii="Arial" w:cs="Arial" w:eastAsia="Arial" w:hAnsi="Arial"/>
          <w:sz w:val="18"/>
          <w:szCs w:val="18"/>
          <w:color w:val="auto"/>
        </w:rPr>
        <w:t>IN WITNESS WHEREOF, the parties hereto have executed this First Amendment to Amended and Restated Executive Severance Agreement as of the day and year first set forth above.</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AMERICAN SUPERCONDUCTOR CORPORATION</w:t>
      </w:r>
    </w:p>
    <w:p>
      <w:pPr>
        <w:spacing w:after="0" w:line="225" w:lineRule="exact"/>
        <w:rPr>
          <w:sz w:val="20"/>
          <w:szCs w:val="20"/>
          <w:color w:val="auto"/>
        </w:rPr>
      </w:pPr>
    </w:p>
    <w:tbl>
      <w:tblPr>
        <w:tblLayout w:type="fixed"/>
        <w:tblInd w:w="504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Signature:</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Henry</w:t>
            </w: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Print name:</w:t>
            </w:r>
          </w:p>
        </w:tc>
        <w:tc>
          <w:tcPr>
            <w:tcW w:w="3940" w:type="dxa"/>
            <w:vAlign w:val="bottom"/>
          </w:tcPr>
          <w:p>
            <w:pPr>
              <w:spacing w:after="0"/>
              <w:rPr>
                <w:sz w:val="20"/>
                <w:szCs w:val="20"/>
                <w:color w:val="auto"/>
              </w:rPr>
            </w:pPr>
            <w:r>
              <w:rPr>
                <w:rFonts w:ascii="Arial" w:cs="Arial" w:eastAsia="Arial" w:hAnsi="Arial"/>
                <w:sz w:val="18"/>
                <w:szCs w:val="18"/>
                <w:color w:val="auto"/>
              </w:rPr>
              <w:t>David A. Henry</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w w:val="98"/>
              </w:rPr>
              <w:t>Senior Vice President and Chief Executive Officer</w:t>
            </w:r>
          </w:p>
        </w:tc>
      </w:tr>
    </w:tbl>
    <w:p>
      <w:pPr>
        <w:spacing w:after="0" w:line="20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5040"/>
        <w:spacing w:after="0"/>
        <w:tabs>
          <w:tab w:leader="none" w:pos="5980" w:val="left"/>
        </w:tabs>
        <w:rPr>
          <w:sz w:val="20"/>
          <w:szCs w:val="20"/>
          <w:color w:val="auto"/>
        </w:rPr>
      </w:pPr>
      <w:r>
        <w:rPr>
          <w:rFonts w:ascii="Arial" w:cs="Arial" w:eastAsia="Arial" w:hAnsi="Arial"/>
          <w:sz w:val="18"/>
          <w:szCs w:val="18"/>
          <w:color w:val="auto"/>
        </w:rPr>
        <w:t>Signature:</w:t>
        <w:tab/>
        <w:t>/s/ 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25126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Print name: Daniel P. McGahn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3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Gregory J. Yurek, certify that:</w:t>
      </w:r>
    </w:p>
    <w:p>
      <w:pPr>
        <w:spacing w:after="0" w:line="11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117"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900" w:hanging="446"/>
        <w:spacing w:after="0" w:line="308" w:lineRule="auto"/>
        <w:tabs>
          <w:tab w:leader="none" w:pos="90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February 3, 2010</w:t>
      </w:r>
      <w:r>
        <w:rPr>
          <w:sz w:val="20"/>
          <w:szCs w:val="20"/>
          <w:color w:val="auto"/>
        </w:rPr>
        <w:tab/>
      </w:r>
      <w:r>
        <w:rPr>
          <w:rFonts w:ascii="Arial" w:cs="Arial" w:eastAsia="Arial" w:hAnsi="Arial"/>
          <w:sz w:val="17"/>
          <w:szCs w:val="17"/>
          <w:b w:val="1"/>
          <w:bCs w:val="1"/>
          <w:color w:val="auto"/>
        </w:rPr>
        <w:t>/</w:t>
      </w:r>
      <w:r>
        <w:rPr>
          <w:rFonts w:ascii="Arial" w:cs="Arial" w:eastAsia="Arial" w:hAnsi="Arial"/>
          <w:sz w:val="11"/>
          <w:szCs w:val="11"/>
          <w:b w:val="1"/>
          <w:bCs w:val="1"/>
          <w:color w:val="auto"/>
        </w:rPr>
        <w:t>S</w:t>
      </w:r>
      <w:r>
        <w:rPr>
          <w:rFonts w:ascii="Arial" w:cs="Arial" w:eastAsia="Arial" w:hAnsi="Arial"/>
          <w:sz w:val="17"/>
          <w:szCs w:val="17"/>
          <w:b w:val="1"/>
          <w:bCs w:val="1"/>
          <w:color w:val="auto"/>
        </w:rPr>
        <w:t>/ G</w:t>
      </w:r>
      <w:r>
        <w:rPr>
          <w:rFonts w:ascii="Arial" w:cs="Arial" w:eastAsia="Arial" w:hAnsi="Arial"/>
          <w:sz w:val="11"/>
          <w:szCs w:val="11"/>
          <w:b w:val="1"/>
          <w:bCs w:val="1"/>
          <w:color w:val="auto"/>
        </w:rPr>
        <w:t>REGORY</w:t>
      </w:r>
      <w:r>
        <w:rPr>
          <w:rFonts w:ascii="Arial" w:cs="Arial" w:eastAsia="Arial" w:hAnsi="Arial"/>
          <w:sz w:val="17"/>
          <w:szCs w:val="17"/>
          <w:b w:val="1"/>
          <w:bCs w:val="1"/>
          <w:color w:val="auto"/>
        </w:rPr>
        <w:t xml:space="preserve"> J. Y</w:t>
      </w:r>
      <w:r>
        <w:rPr>
          <w:rFonts w:ascii="Arial" w:cs="Arial" w:eastAsia="Arial" w:hAnsi="Arial"/>
          <w:sz w:val="11"/>
          <w:szCs w:val="11"/>
          <w:b w:val="1"/>
          <w:bCs w:val="1"/>
          <w:color w:val="auto"/>
        </w:rPr>
        <w:t>UREK</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Gregory J. Yurek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A. Henry, certify that:</w:t>
      </w:r>
    </w:p>
    <w:p>
      <w:pPr>
        <w:spacing w:after="0" w:line="11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117"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900" w:hanging="446"/>
        <w:spacing w:after="0" w:line="308" w:lineRule="auto"/>
        <w:tabs>
          <w:tab w:leader="none" w:pos="90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hanging="44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February 3, 2010</w:t>
      </w:r>
      <w:r>
        <w:rPr>
          <w:sz w:val="20"/>
          <w:szCs w:val="20"/>
          <w:color w:val="auto"/>
        </w:rPr>
        <w:tab/>
      </w:r>
      <w:r>
        <w:rPr>
          <w:rFonts w:ascii="Arial" w:cs="Arial" w:eastAsia="Arial" w:hAnsi="Arial"/>
          <w:sz w:val="17"/>
          <w:szCs w:val="17"/>
          <w:b w:val="1"/>
          <w:bCs w:val="1"/>
          <w:color w:val="auto"/>
        </w:rPr>
        <w:t>/</w:t>
      </w:r>
      <w:r>
        <w:rPr>
          <w:rFonts w:ascii="Arial" w:cs="Arial" w:eastAsia="Arial" w:hAnsi="Arial"/>
          <w:sz w:val="11"/>
          <w:szCs w:val="11"/>
          <w:b w:val="1"/>
          <w:bCs w:val="1"/>
          <w:color w:val="auto"/>
        </w:rPr>
        <w:t>S</w:t>
      </w:r>
      <w:r>
        <w:rPr>
          <w:rFonts w:ascii="Arial" w:cs="Arial" w:eastAsia="Arial" w:hAnsi="Arial"/>
          <w:sz w:val="17"/>
          <w:szCs w:val="17"/>
          <w:b w:val="1"/>
          <w:bCs w:val="1"/>
          <w:color w:val="auto"/>
        </w:rPr>
        <w:t>/ D</w:t>
      </w:r>
      <w:r>
        <w:rPr>
          <w:rFonts w:ascii="Arial" w:cs="Arial" w:eastAsia="Arial" w:hAnsi="Arial"/>
          <w:sz w:val="11"/>
          <w:szCs w:val="11"/>
          <w:b w:val="1"/>
          <w:bCs w:val="1"/>
          <w:color w:val="auto"/>
        </w:rPr>
        <w:t>AVID</w:t>
      </w:r>
      <w:r>
        <w:rPr>
          <w:rFonts w:ascii="Arial" w:cs="Arial" w:eastAsia="Arial" w:hAnsi="Arial"/>
          <w:sz w:val="17"/>
          <w:szCs w:val="17"/>
          <w:b w:val="1"/>
          <w:bCs w:val="1"/>
          <w:color w:val="auto"/>
        </w:rPr>
        <w:t xml:space="preserve"> A. H</w:t>
      </w:r>
      <w:r>
        <w:rPr>
          <w:rFonts w:ascii="Arial" w:cs="Arial" w:eastAsia="Arial" w:hAnsi="Arial"/>
          <w:sz w:val="11"/>
          <w:szCs w:val="11"/>
          <w:b w:val="1"/>
          <w:bCs w:val="1"/>
          <w:color w:val="auto"/>
        </w:rPr>
        <w:t>ENRY</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3"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33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firstLine="290"/>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December 31, 2009 as filed with the Securities and Exchange Commission on the date hereof (the “Report”), the undersigned, Gregory J. Yurek, Chief Executive Officer of the Company, hereby certifies, pursuant to 18 U.S.C. Section 1350, as adopted pursuant to Section 906 of the Sarbanes-Oxley Act of 2002, that, to my knowledge:</w:t>
      </w:r>
    </w:p>
    <w:p>
      <w:pPr>
        <w:spacing w:after="0" w:line="79" w:lineRule="exact"/>
        <w:rPr>
          <w:sz w:val="20"/>
          <w:szCs w:val="20"/>
          <w:color w:val="auto"/>
        </w:rPr>
      </w:pPr>
    </w:p>
    <w:p>
      <w:pPr>
        <w:ind w:left="480" w:hanging="247"/>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9"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February 3, 2010</w:t>
      </w:r>
      <w:r>
        <w:rPr>
          <w:sz w:val="20"/>
          <w:szCs w:val="20"/>
          <w:color w:val="auto"/>
        </w:rPr>
        <w:tab/>
      </w:r>
      <w:r>
        <w:rPr>
          <w:rFonts w:ascii="Arial" w:cs="Arial" w:eastAsia="Arial" w:hAnsi="Arial"/>
          <w:sz w:val="17"/>
          <w:szCs w:val="17"/>
          <w:b w:val="1"/>
          <w:bCs w:val="1"/>
          <w:color w:val="auto"/>
        </w:rPr>
        <w:t>/</w:t>
      </w:r>
      <w:r>
        <w:rPr>
          <w:rFonts w:ascii="Arial" w:cs="Arial" w:eastAsia="Arial" w:hAnsi="Arial"/>
          <w:sz w:val="11"/>
          <w:szCs w:val="11"/>
          <w:b w:val="1"/>
          <w:bCs w:val="1"/>
          <w:color w:val="auto"/>
        </w:rPr>
        <w:t>S</w:t>
      </w:r>
      <w:r>
        <w:rPr>
          <w:rFonts w:ascii="Arial" w:cs="Arial" w:eastAsia="Arial" w:hAnsi="Arial"/>
          <w:sz w:val="17"/>
          <w:szCs w:val="17"/>
          <w:b w:val="1"/>
          <w:bCs w:val="1"/>
          <w:color w:val="auto"/>
        </w:rPr>
        <w:t>/ G</w:t>
      </w:r>
      <w:r>
        <w:rPr>
          <w:rFonts w:ascii="Arial" w:cs="Arial" w:eastAsia="Arial" w:hAnsi="Arial"/>
          <w:sz w:val="11"/>
          <w:szCs w:val="11"/>
          <w:b w:val="1"/>
          <w:bCs w:val="1"/>
          <w:color w:val="auto"/>
        </w:rPr>
        <w:t>REGORY</w:t>
      </w:r>
      <w:r>
        <w:rPr>
          <w:rFonts w:ascii="Arial" w:cs="Arial" w:eastAsia="Arial" w:hAnsi="Arial"/>
          <w:sz w:val="17"/>
          <w:szCs w:val="17"/>
          <w:b w:val="1"/>
          <w:bCs w:val="1"/>
          <w:color w:val="auto"/>
        </w:rPr>
        <w:t xml:space="preserve"> J. Y</w:t>
      </w:r>
      <w:r>
        <w:rPr>
          <w:rFonts w:ascii="Arial" w:cs="Arial" w:eastAsia="Arial" w:hAnsi="Arial"/>
          <w:sz w:val="11"/>
          <w:szCs w:val="11"/>
          <w:b w:val="1"/>
          <w:bCs w:val="1"/>
          <w:color w:val="auto"/>
        </w:rPr>
        <w:t>UREK</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Gregory J. Yurek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53"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33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firstLine="290"/>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December 31, 2009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79" w:lineRule="exact"/>
        <w:rPr>
          <w:sz w:val="20"/>
          <w:szCs w:val="20"/>
          <w:color w:val="auto"/>
        </w:rPr>
      </w:pPr>
    </w:p>
    <w:p>
      <w:pPr>
        <w:ind w:left="480" w:hanging="247"/>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9"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February 3, 2010</w:t>
      </w:r>
      <w:r>
        <w:rPr>
          <w:sz w:val="20"/>
          <w:szCs w:val="20"/>
          <w:color w:val="auto"/>
        </w:rPr>
        <w:tab/>
      </w:r>
      <w:r>
        <w:rPr>
          <w:rFonts w:ascii="Arial" w:cs="Arial" w:eastAsia="Arial" w:hAnsi="Arial"/>
          <w:sz w:val="17"/>
          <w:szCs w:val="17"/>
          <w:b w:val="1"/>
          <w:bCs w:val="1"/>
          <w:color w:val="auto"/>
        </w:rPr>
        <w:t>/</w:t>
      </w:r>
      <w:r>
        <w:rPr>
          <w:rFonts w:ascii="Arial" w:cs="Arial" w:eastAsia="Arial" w:hAnsi="Arial"/>
          <w:sz w:val="11"/>
          <w:szCs w:val="11"/>
          <w:b w:val="1"/>
          <w:bCs w:val="1"/>
          <w:color w:val="auto"/>
        </w:rPr>
        <w:t>S</w:t>
      </w:r>
      <w:r>
        <w:rPr>
          <w:rFonts w:ascii="Arial" w:cs="Arial" w:eastAsia="Arial" w:hAnsi="Arial"/>
          <w:sz w:val="17"/>
          <w:szCs w:val="17"/>
          <w:b w:val="1"/>
          <w:bCs w:val="1"/>
          <w:color w:val="auto"/>
        </w:rPr>
        <w:t>/ D</w:t>
      </w:r>
      <w:r>
        <w:rPr>
          <w:rFonts w:ascii="Arial" w:cs="Arial" w:eastAsia="Arial" w:hAnsi="Arial"/>
          <w:sz w:val="11"/>
          <w:szCs w:val="11"/>
          <w:b w:val="1"/>
          <w:bCs w:val="1"/>
          <w:color w:val="auto"/>
        </w:rPr>
        <w:t>AVID</w:t>
      </w:r>
      <w:r>
        <w:rPr>
          <w:rFonts w:ascii="Arial" w:cs="Arial" w:eastAsia="Arial" w:hAnsi="Arial"/>
          <w:sz w:val="17"/>
          <w:szCs w:val="17"/>
          <w:b w:val="1"/>
          <w:bCs w:val="1"/>
          <w:color w:val="auto"/>
        </w:rPr>
        <w:t xml:space="preserve"> A. H</w:t>
      </w:r>
      <w:r>
        <w:rPr>
          <w:rFonts w:ascii="Arial" w:cs="Arial" w:eastAsia="Arial" w:hAnsi="Arial"/>
          <w:sz w:val="11"/>
          <w:szCs w:val="11"/>
          <w:b w:val="1"/>
          <w:bCs w:val="1"/>
          <w:color w:val="auto"/>
        </w:rPr>
        <w:t>ENRY</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5">
    <w:nsid w:val="7545E146"/>
    <w:multiLevelType w:val="hybridMultilevel"/>
    <w:lvl w:ilvl="0">
      <w:lvlJc w:val="left"/>
      <w:lvlText w:val="%1."/>
      <w:numFmt w:val="decimal"/>
      <w:start w:val="4"/>
    </w:lvl>
    <w:lvl w:ilvl="1">
      <w:lvlJc w:val="left"/>
      <w:lvlText w:val="%2"/>
      <w:numFmt w:val="decimal"/>
      <w:start w:val="1"/>
    </w:lvl>
    <w:lvl w:ilvl="2">
      <w:lvlJc w:val="left"/>
      <w:lvlText w:val="%3"/>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2019-12-10T09:39:40Z</dcterms:created>
  <dcterms:modified xsi:type="dcterms:W3CDTF">2019-12-10T09:39:40Z</dcterms:modified>
</cp:coreProperties>
</file>